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C6472" w14:textId="77777777" w:rsidR="00437BE5" w:rsidRPr="00A93A6F" w:rsidRDefault="00437BE5" w:rsidP="00A24FA0">
      <w:pPr>
        <w:pStyle w:val="Tableofcontents"/>
      </w:pPr>
      <w:r w:rsidRPr="00A93A6F">
        <w:t>Stress-controlled shear flow alignment of collagen type I hydrogel systems</w:t>
      </w:r>
    </w:p>
    <w:p w14:paraId="26064B6D" w14:textId="77777777" w:rsidR="00437BE5" w:rsidRPr="00A93A6F" w:rsidRDefault="00437BE5" w:rsidP="00437BE5">
      <w:pPr>
        <w:pStyle w:val="AuthorsFull"/>
        <w:spacing w:line="360" w:lineRule="auto"/>
      </w:pPr>
      <w:r w:rsidRPr="00A93A6F">
        <w:t>Lens M. Dedroog, Olivier Deschaume, Christian J. Garcia Abrego, Erin Koos, Yovan de Coene, Anja Vananroye, Wim Thielemans, Carmen Bartic and Minne P. Lettinga*</w:t>
      </w:r>
    </w:p>
    <w:p w14:paraId="5A884F31" w14:textId="77777777" w:rsidR="00437BE5" w:rsidRPr="00A93A6F" w:rsidRDefault="00437BE5" w:rsidP="00A24FA0">
      <w:pPr>
        <w:pStyle w:val="Tableofcontents"/>
      </w:pPr>
    </w:p>
    <w:p w14:paraId="3A52E64A" w14:textId="77777777" w:rsidR="00437BE5" w:rsidRPr="00A93A6F" w:rsidRDefault="00437BE5" w:rsidP="00A24FA0">
      <w:pPr>
        <w:pStyle w:val="Tableofcontents"/>
      </w:pPr>
      <w:r w:rsidRPr="00A93A6F">
        <w:t xml:space="preserve">L. M. Dedroog, Olivier Deschaume, Christian J. Garcia Abrego and Carmen Bartic </w:t>
      </w:r>
    </w:p>
    <w:p w14:paraId="19597668" w14:textId="77777777" w:rsidR="00437BE5" w:rsidRPr="00A93A6F" w:rsidRDefault="00437BE5" w:rsidP="00A24FA0">
      <w:pPr>
        <w:pStyle w:val="Tableofcontents"/>
      </w:pPr>
      <w:r w:rsidRPr="00A93A6F">
        <w:t>Soft Matter Physics and Biophysics Unit, Department of Physics and Astronomy, KU Leuven, 3001 Leuven, Belgium</w:t>
      </w:r>
    </w:p>
    <w:p w14:paraId="18203F3D" w14:textId="77777777" w:rsidR="00437BE5" w:rsidRPr="00A93A6F" w:rsidRDefault="00437BE5" w:rsidP="00A24FA0">
      <w:pPr>
        <w:pStyle w:val="Tableofcontents"/>
      </w:pPr>
    </w:p>
    <w:p w14:paraId="2826B744" w14:textId="77777777" w:rsidR="00437BE5" w:rsidRPr="00A93A6F" w:rsidRDefault="00437BE5" w:rsidP="00437BE5">
      <w:pPr>
        <w:rPr>
          <w:lang w:val="en-US"/>
        </w:rPr>
      </w:pPr>
      <w:r w:rsidRPr="00A93A6F">
        <w:rPr>
          <w:lang w:val="en-US"/>
        </w:rPr>
        <w:t>E. Koos and A. Vananroye</w:t>
      </w:r>
    </w:p>
    <w:p w14:paraId="705176B4" w14:textId="77777777" w:rsidR="00437BE5" w:rsidRPr="00A93A6F" w:rsidRDefault="00437BE5" w:rsidP="00A24FA0">
      <w:pPr>
        <w:pStyle w:val="Tableofcontents"/>
      </w:pPr>
      <w:r w:rsidRPr="00A93A6F">
        <w:t>Soft Matter, Rheology and Technology, Department of Chemical Engineering, KU Leuven, 3001 Leuven, Belgium</w:t>
      </w:r>
    </w:p>
    <w:p w14:paraId="0043D0C7" w14:textId="77777777" w:rsidR="00437BE5" w:rsidRPr="00A93A6F" w:rsidRDefault="00437BE5" w:rsidP="00A24FA0">
      <w:pPr>
        <w:pStyle w:val="Tableofcontents"/>
      </w:pPr>
    </w:p>
    <w:p w14:paraId="44AD1FA9" w14:textId="77777777" w:rsidR="00437BE5" w:rsidRPr="00A93A6F" w:rsidRDefault="00437BE5" w:rsidP="00A24FA0">
      <w:pPr>
        <w:pStyle w:val="Tableofcontents"/>
      </w:pPr>
      <w:r w:rsidRPr="00A93A6F">
        <w:t>Y. de Coene</w:t>
      </w:r>
    </w:p>
    <w:p w14:paraId="40A4672B" w14:textId="77777777" w:rsidR="00437BE5" w:rsidRPr="00A93A6F" w:rsidRDefault="00437BE5" w:rsidP="00A24FA0">
      <w:pPr>
        <w:pStyle w:val="Tableofcontents"/>
      </w:pPr>
      <w:r w:rsidRPr="00A93A6F">
        <w:t>Molecular Imaging and Photonics Unit, Department of Chemistry, KU Leuven, 3001 Leuven, Belgium</w:t>
      </w:r>
    </w:p>
    <w:p w14:paraId="7E16BD80" w14:textId="77777777" w:rsidR="00437BE5" w:rsidRPr="00A93A6F" w:rsidRDefault="00437BE5" w:rsidP="00A24FA0">
      <w:pPr>
        <w:pStyle w:val="Tableofcontents"/>
      </w:pPr>
    </w:p>
    <w:p w14:paraId="4970D262" w14:textId="77777777" w:rsidR="00437BE5" w:rsidRPr="00A93A6F" w:rsidRDefault="00437BE5" w:rsidP="00A24FA0">
      <w:pPr>
        <w:pStyle w:val="Tableofcontents"/>
      </w:pPr>
      <w:r w:rsidRPr="00A93A6F">
        <w:t>W. Thielemans</w:t>
      </w:r>
    </w:p>
    <w:p w14:paraId="0843CF40" w14:textId="112FE7B1" w:rsidR="00437BE5" w:rsidRPr="00A93A6F" w:rsidRDefault="002A1AFB" w:rsidP="00A24FA0">
      <w:pPr>
        <w:pStyle w:val="Tableofcontents"/>
      </w:pPr>
      <w:r w:rsidRPr="00A93A6F">
        <w:rPr>
          <w:rFonts w:eastAsia="Times New Roman"/>
        </w:rPr>
        <w:t xml:space="preserve">Sustainable Materials Lab </w:t>
      </w:r>
      <w:r w:rsidR="00437BE5" w:rsidRPr="00A93A6F">
        <w:t>Research Group, Department of Chemical Engineering, KU Leuven, Campus Kulak Kortrijk, 8500 Kortrijk, Belgium</w:t>
      </w:r>
    </w:p>
    <w:p w14:paraId="2C726EF7" w14:textId="77777777" w:rsidR="00437BE5" w:rsidRPr="00A93A6F" w:rsidRDefault="00437BE5" w:rsidP="00A24FA0">
      <w:pPr>
        <w:pStyle w:val="Tableofcontents"/>
      </w:pPr>
    </w:p>
    <w:p w14:paraId="3D17D3B8" w14:textId="77777777" w:rsidR="00437BE5" w:rsidRPr="00A93A6F" w:rsidRDefault="00437BE5" w:rsidP="00A24FA0">
      <w:pPr>
        <w:pStyle w:val="Tableofcontents"/>
      </w:pPr>
      <w:r w:rsidRPr="00A93A6F">
        <w:t>M. P. Lettinga</w:t>
      </w:r>
    </w:p>
    <w:p w14:paraId="56221974" w14:textId="77777777" w:rsidR="00437BE5" w:rsidRPr="00A93A6F" w:rsidRDefault="00437BE5" w:rsidP="00A24FA0">
      <w:pPr>
        <w:pStyle w:val="Tableofcontents"/>
      </w:pPr>
      <w:r w:rsidRPr="00A93A6F">
        <w:t>Soft Matter Physics and Biophysics Unit, Department of Physics and Astronomy, KU Leuven, 3001 Leuven, Belgium</w:t>
      </w:r>
    </w:p>
    <w:p w14:paraId="75374849" w14:textId="77777777" w:rsidR="00437BE5" w:rsidRPr="00A93A6F" w:rsidRDefault="00437BE5" w:rsidP="00A24FA0">
      <w:pPr>
        <w:pStyle w:val="Tableofcontents"/>
        <w:rPr>
          <w:lang w:val="de-DE"/>
        </w:rPr>
      </w:pPr>
      <w:r w:rsidRPr="00A93A6F">
        <w:rPr>
          <w:lang w:val="de-DE"/>
        </w:rPr>
        <w:t>Biological Information Processing IB-4, Forschungszentrum Jülich, 52425 Jülich, Germany.</w:t>
      </w:r>
    </w:p>
    <w:p w14:paraId="64DD0DDB" w14:textId="77777777" w:rsidR="00437BE5" w:rsidRPr="00A93A6F" w:rsidRDefault="00437BE5" w:rsidP="00A24FA0">
      <w:pPr>
        <w:pStyle w:val="Tableofcontents"/>
        <w:rPr>
          <w:lang w:val="de-DE"/>
        </w:rPr>
      </w:pPr>
      <w:r w:rsidRPr="00A93A6F">
        <w:rPr>
          <w:lang w:val="de-DE"/>
        </w:rPr>
        <w:t>E-mail: Pavlik.Lettinga@kuleuven.be</w:t>
      </w:r>
      <w:bookmarkStart w:id="0" w:name="_Hlk90993511"/>
    </w:p>
    <w:p w14:paraId="0F6975C9" w14:textId="77777777" w:rsidR="00437BE5" w:rsidRPr="00A93A6F" w:rsidRDefault="00437BE5" w:rsidP="00437BE5">
      <w:pPr>
        <w:spacing w:line="360" w:lineRule="auto"/>
        <w:rPr>
          <w:rFonts w:eastAsia="MS Gothic"/>
        </w:rPr>
      </w:pPr>
    </w:p>
    <w:p w14:paraId="5BD850B9" w14:textId="77777777" w:rsidR="00437BE5" w:rsidRPr="00A93A6F" w:rsidRDefault="00437BE5" w:rsidP="00FD4372">
      <w:pPr>
        <w:pStyle w:val="Head1"/>
      </w:pPr>
      <w:r w:rsidRPr="00A93A6F">
        <w:t>Abstract</w:t>
      </w:r>
    </w:p>
    <w:p w14:paraId="149DA599" w14:textId="4B162670" w:rsidR="00437BE5" w:rsidRPr="00A93A6F" w:rsidRDefault="00437BE5" w:rsidP="00437BE5">
      <w:pPr>
        <w:pStyle w:val="StyleJustifiedBefore5ptAfter5pt"/>
        <w:rPr>
          <w:lang w:val="en-US"/>
        </w:rPr>
      </w:pPr>
      <w:r w:rsidRPr="00A93A6F">
        <w:rPr>
          <w:lang w:val="en-US"/>
        </w:rPr>
        <w:t xml:space="preserve">Disease research and drug screening platforms require </w:t>
      </w:r>
      <w:r w:rsidRPr="00A93A6F">
        <w:rPr>
          <w:i/>
          <w:iCs/>
          <w:lang w:val="en-US"/>
        </w:rPr>
        <w:t xml:space="preserve">in vitro </w:t>
      </w:r>
      <w:r w:rsidRPr="00A93A6F">
        <w:rPr>
          <w:lang w:val="en-US"/>
        </w:rPr>
        <w:t xml:space="preserve">model systems with cellular cues resembling those of natural tissues. Fibrillar alignment, occurring naturally in extracellular matrices, is one of the crucial attributes in tissue development. Obtaining fiber alignment in 3D, </w:t>
      </w:r>
      <w:r w:rsidRPr="00A93A6F">
        <w:rPr>
          <w:i/>
          <w:iCs/>
          <w:lang w:val="en-US"/>
        </w:rPr>
        <w:t>in vitro</w:t>
      </w:r>
      <w:r w:rsidRPr="00A93A6F">
        <w:rPr>
          <w:lang w:val="en-US"/>
        </w:rPr>
        <w:t xml:space="preserve"> remains an important challenge due to non-linear material characteristics. Here, we report a cell-compatible, shear stress-based method allowing to obtain 3D homogeneously aligned fibrillar collagen hydrogels. Controlling the shear-stress during gelation results in low strain rates, with negligible effects on the viability of embedded SH-SY5Y cells. Our approach offers reproducibility and tunability through a paradigm shift: </w:t>
      </w:r>
      <w:r w:rsidR="00EC6C31" w:rsidRPr="00A93A6F">
        <w:rPr>
          <w:lang w:val="en-US"/>
        </w:rPr>
        <w:t>T</w:t>
      </w:r>
      <w:r w:rsidRPr="00A93A6F">
        <w:rPr>
          <w:lang w:val="en-US"/>
        </w:rPr>
        <w:t xml:space="preserve">he shear-stress initiation moment, being the critical optimization parameter in the process, is related to the modulus of the developing gel, whereas state of the art methods often rely on a predefined time to initiate the alignment procedure. After curing, the induced 3D alignment is maintained after the release </w:t>
      </w:r>
      <w:r w:rsidRPr="00A93A6F">
        <w:rPr>
          <w:lang w:val="en-US"/>
        </w:rPr>
        <w:lastRenderedPageBreak/>
        <w:t>of stress, with a linear relation between the total acquired strain and the fiber alignment. This method is generally applicable to 3D fibrillar materials and stress/pressure-controlled setups, making it a valuable addition to the fast-growing field of tissue engineering.</w:t>
      </w:r>
    </w:p>
    <w:p w14:paraId="7EE690A1" w14:textId="77777777" w:rsidR="00437BE5" w:rsidRPr="00A93A6F" w:rsidRDefault="00437BE5" w:rsidP="00437BE5">
      <w:pPr>
        <w:pStyle w:val="StyleJustifiedBefore5ptAfter5pt"/>
        <w:rPr>
          <w:lang w:val="en-US"/>
        </w:rPr>
      </w:pPr>
    </w:p>
    <w:p w14:paraId="6E477D93" w14:textId="423D7B5A" w:rsidR="00437BE5" w:rsidRPr="00A93A6F" w:rsidRDefault="00437BE5" w:rsidP="00437BE5">
      <w:pPr>
        <w:pStyle w:val="StyleJustifiedBefore5ptAfter5pt"/>
        <w:rPr>
          <w:lang w:val="en-US"/>
        </w:rPr>
      </w:pPr>
      <w:r w:rsidRPr="00A93A6F">
        <w:rPr>
          <w:bCs/>
          <w:lang w:val="en-US"/>
        </w:rPr>
        <w:t xml:space="preserve">Keywords: </w:t>
      </w:r>
      <w:r w:rsidRPr="00A93A6F">
        <w:rPr>
          <w:rFonts w:eastAsia="MS Gothic"/>
          <w:lang w:val="en-US"/>
        </w:rPr>
        <w:t>collagen, alignment, anisotropy, hydrogels, rheology</w:t>
      </w:r>
      <w:r w:rsidR="00EC6C31" w:rsidRPr="00A93A6F">
        <w:rPr>
          <w:rFonts w:eastAsia="MS Gothic"/>
          <w:lang w:val="en-US"/>
        </w:rPr>
        <w:t>.</w:t>
      </w:r>
    </w:p>
    <w:bookmarkEnd w:id="0"/>
    <w:p w14:paraId="47A971CE" w14:textId="77777777" w:rsidR="00437BE5" w:rsidRPr="00A93A6F" w:rsidRDefault="00437BE5" w:rsidP="00437BE5">
      <w:pPr>
        <w:spacing w:line="360" w:lineRule="auto"/>
        <w:rPr>
          <w:lang w:val="en-US"/>
        </w:rPr>
      </w:pPr>
    </w:p>
    <w:p w14:paraId="4A7FB9FC" w14:textId="77777777" w:rsidR="00437BE5" w:rsidRPr="00A93A6F" w:rsidRDefault="00437BE5" w:rsidP="00FD4372">
      <w:pPr>
        <w:pStyle w:val="Head1"/>
      </w:pPr>
      <w:bookmarkStart w:id="1" w:name="_Hlk90904307"/>
      <w:r w:rsidRPr="00A93A6F">
        <w:t>1. Introduction</w:t>
      </w:r>
    </w:p>
    <w:p w14:paraId="210EE3B2" w14:textId="3D880C89" w:rsidR="00437BE5" w:rsidRPr="00A93A6F" w:rsidRDefault="00437BE5" w:rsidP="00437BE5">
      <w:pPr>
        <w:spacing w:line="360" w:lineRule="auto"/>
        <w:jc w:val="both"/>
        <w:rPr>
          <w:lang w:val="en-US"/>
        </w:rPr>
      </w:pPr>
      <w:r w:rsidRPr="00A93A6F">
        <w:rPr>
          <w:lang w:val="en-US"/>
        </w:rPr>
        <w:t xml:space="preserve">Tissue engineering is a rapidly growing domain in the field of biomedical engineering with the central aim of functionally mimicking living tissues. Recently, there is a multidisciplinary effort towards understanding how material properties are guiding cell responses in 3D engineered tissues </w:t>
      </w:r>
      <w:r w:rsidRPr="00A93A6F">
        <w:rPr>
          <w:lang w:val="en-US"/>
        </w:rPr>
        <w:fldChar w:fldCharType="begin" w:fldLock="1"/>
      </w:r>
      <w:r w:rsidRPr="00A93A6F">
        <w:rPr>
          <w:lang w:val="en-US"/>
        </w:rPr>
        <w:instrText>ADDIN CSL_CITATION { "citationItems" : [ { "id" : "ITEM-1", "itemData" : { "DOI" : "10.1242/jcs.079509", "ISSN" : "00219533", "PMID" : "22797912", "abstract" : "Much of our understanding of the biological mechanisms that underlie cellular functions, such as migration, differentiation and forcesensing has been garnered from studying cells cultured on two-dimensional (2D) glass or plastic surfaces. However, more recently the cell biology field has come to appreciate the dissimilarity between these flat surfaces and the topographically complex, threedimensional (3D) extracellular environments in which cells routinely operate in vivo. This has spurred substantial efforts towards the development of in vitro 3D biomimetic environments and has encouraged much cross-disciplinary work among biologists, material scientists and tissue engineers. As we move towards more-physiological culture systems for studying fundamental cellular processes, it is crucial to define exactly which factors are operative in 3D microenvironments. Thus, the focus of this Commentary will be on identifying and describing the fundamental features of 3D cell culture systems that influence cell structure, adhesion, mechanotransduction and signaling in response to soluble factors, which - in turn - regulate overall cellular function in ways that depart dramatically from traditional 2D culture formats. Additionally, we will describe experimental scenarios in which 3D culture is particularly relevant, highlight recent advances in materials engineering for studying cell biology, and discuss examples where studying cells in a 3D context provided insights that would not have been observed in traditional 2D systems. \u00a9 2012.", "author" : [ { "dropping-particle" : "", "family" : "Baker", "given" : "Brendon M.", "non-dropping-particle" : "", "parse-names" : false, "suffix" : "" }, { "dropping-particle" : "", "family" : "Chen", "given" : "Christopher S.", "non-dropping-particle" : "", "parse-names" : false, "suffix" : "" } ], "container-title" : "Journal of Cell Science", "id" : "ITEM-1", "issue" : "13", "issued" : { "date-parts" : [ [ "2012", "7", "1" ] ] }, "page" : "3015-3024", "title" : "Deconstructing the third dimension-how 3D culture microenvironments alter cellular cues", "type" : "article", "volume" : "125" }, "uris" : [ "http://www.mendeley.com/documents/?uuid=f4bf1465-614c-3f3c-be0c-8bfde8324ea9" ] } ], "mendeley" : { "formattedCitation" : "[1]", "plainTextFormattedCitation" : "[1]", "previouslyFormattedCitation" : "[1]" }, "properties" : { "noteIndex" : 0 }, "schema" : "https://github.com/citation-style-language/schema/raw/master/csl-citation.json" }</w:instrText>
      </w:r>
      <w:r w:rsidRPr="00A93A6F">
        <w:rPr>
          <w:lang w:val="en-US"/>
        </w:rPr>
        <w:fldChar w:fldCharType="separate"/>
      </w:r>
      <w:r w:rsidR="00794DF9" w:rsidRPr="00A93A6F">
        <w:rPr>
          <w:noProof/>
          <w:lang w:val="en-US"/>
        </w:rPr>
        <w:t>[1]</w:t>
      </w:r>
      <w:r w:rsidRPr="00A93A6F">
        <w:rPr>
          <w:lang w:val="en-US"/>
        </w:rPr>
        <w:fldChar w:fldCharType="end"/>
      </w:r>
      <w:r w:rsidRPr="00A93A6F">
        <w:rPr>
          <w:lang w:val="en-US"/>
        </w:rPr>
        <w:fldChar w:fldCharType="begin" w:fldLock="1"/>
      </w:r>
      <w:r w:rsidRPr="00A93A6F">
        <w:rPr>
          <w:lang w:val="en-US"/>
        </w:rPr>
        <w:instrText>ADDIN CSL_CITATION { "citationItems" : [ { "id" : "ITEM-1", "itemData" : { "DOI" : "10.1155/2018/2495848", "ISSN" : "16879678", "PMID" : "30154861", "abstract" : "Humans and animals lose tissues and organs due to congenital defects, trauma, and diseases. The human body has a low regenerative potential as opposed to the urodele amphibians commonly referred to as salamanders. Globally, millions of people would benefit immensely if tissues and organs can be replaced on demand. Traditionally, transplantation of intact tissues and organs has been the bedrock to replace damaged and diseased parts of the body. The sole reliance on transplantation has created a waiting list of people requiring donated tissues and organs, and generally, supply cannot meet the demand. The total cost to society in terms of caring for patients with failing organs and debilitating diseases is enormous. Scientists and clinicians, motivated by the need to develop safe and reliable sources of tissues and organs, have been improving therapies and technologies that can regenerate tissues and in some cases create new tissues altogether. Tissue engineering and/or regenerative medicine are fields of life science employing both engineering and biological principles to create new tissues and organs and to promote the regeneration of damaged or diseased tissues and organs. Major advances and innovations are being made in the fields of tissue engineering and regenerative medicine and have a huge impact on three-dimensional bioprinting (3D bioprinting) of tissues and organs. 3D bioprinting holds great promise for artificial tissue and organ bioprinting, thereby revolutionizing the field of regenerative medicine. This review discusses how recent advances in the field of regenerative medicine and tissue engineering can improve 3D bioprinting and vice versa. Several challenges must be overcome in the application of 3D bioprinting before this disruptive technology is widely used to create organotypic constructs for regenerative medicine.", "author" : [ { "dropping-particle" : "", "family" : "Dzobo", "given" : "Kevin", "non-dropping-particle" : "", "parse-names" : false, "suffix" : "" }, { "dropping-particle" : "", "family" : "Thomford", "given" : "Nicholas Ekow", "non-dropping-particle" : "", "parse-names" : false, "suffix" : "" }, { "dropping-particle" : "", "family" : "Senthebane", "given" : "Dimakatso Alice", "non-dropping-particle" : "", "parse-names" : false, "suffix" : "" }, { "dropping-particle" : "", "family" : "Shipanga", "given" : "Hendrina", "non-dropping-particle" : "", "parse-names" : false, "suffix" : "" }, { "dropping-particle" : "", "family" : "Rowe", "given" : "Arielle", "non-dropping-particle" : "", "parse-names" : false, "suffix" : "" }, { "dropping-particle" : "", "family" : "Dandara", "given" : "Collet", "non-dropping-particle" : "", "parse-names" : false, "suffix" : "" }, { "dropping-particle" : "", "family" : "Pillay", "given" : "Michael", "non-dropping-particle" : "", "parse-names" : false, "suffix" : "" }, { "dropping-particle" : "", "family" : "Motaung", "given" : "Keolebogile Shirley Caroline M.", "non-dropping-particle" : "", "parse-names" : false, "suffix" : "" } ], "container-title" : "Stem Cells International", "id" : "ITEM-1", "issued" : { "date-parts" : [ [ "2018" ] ] }, "publisher" : "Stem Cells Int", "title" : "Advances in regenerative medicine and tissue engineering: Innovation and transformation of medicine", "type" : "article-journal", "volume" : "2018" }, "uris" : [ "http://www.mendeley.com/documents/?uuid=cde5b5d9-4de5-39f1-ac66-941249e2cebc" ] } ], "mendeley" : { "formattedCitation" : "[2]", "plainTextFormattedCitation" : "[2]", "previouslyFormattedCitation" : "[2]" }, "properties" : { "noteIndex" : 0 }, "schema" : "https://github.com/citation-style-language/schema/raw/master/csl-citation.json" }</w:instrText>
      </w:r>
      <w:r w:rsidRPr="00A93A6F">
        <w:rPr>
          <w:lang w:val="en-US"/>
        </w:rPr>
        <w:fldChar w:fldCharType="separate"/>
      </w:r>
      <w:r w:rsidR="00794DF9" w:rsidRPr="00A93A6F">
        <w:rPr>
          <w:noProof/>
          <w:lang w:val="en-US"/>
        </w:rPr>
        <w:t>[2]</w:t>
      </w:r>
      <w:r w:rsidRPr="00A93A6F">
        <w:rPr>
          <w:lang w:val="en-US"/>
        </w:rPr>
        <w:fldChar w:fldCharType="end"/>
      </w:r>
      <w:r w:rsidRPr="00A93A6F">
        <w:rPr>
          <w:lang w:val="en-US"/>
        </w:rPr>
        <w:t xml:space="preserve">. Mechanical gradients, multiscale, structural complexity and viscoelastic behavior of extracellular matrices (ECMs) are involved in healthy tissue formation and function </w:t>
      </w:r>
      <w:r w:rsidRPr="00A93A6F">
        <w:rPr>
          <w:lang w:val="en-US"/>
        </w:rPr>
        <w:fldChar w:fldCharType="begin" w:fldLock="1"/>
      </w:r>
      <w:r w:rsidRPr="00A93A6F">
        <w:rPr>
          <w:lang w:val="en-US"/>
        </w:rPr>
        <w:instrText>ADDIN CSL_CITATION { "citationItems" : [ { "id" : "ITEM-1", "itemData" : { "DOI" : "10.7554/eLife.23866", "ISSN" : "2050084X", "PMID" : "28181905", "abstract" : "The morphogenesis of tissues, like the deformation of an object, results from the interplay between their material properties and the mechanical forces exerted on them. The importance of mechanical forces in influencing cell behaviour is widely recognized, whereas the importance of tissue material properties, in particular stiffness, has received much less attention. Using Caenorhabditis elegans as a model, we examine how both aspects contribute to embryonic elongation. Measuring the opening shape of the epidermal actin cortex after laser nano-ablation, we assess the spatiotemporal changes of actomyosin-dependent force and stiffness along the antero-posterior and dorso-ventral axis. Experimental data and analytical modelling show that myosin-II-dependent force anisotropy within the lateral epidermis, and stiffness anisotropy within the fiber-reinforced dorso-ventral epidermis are critical in driving embryonic elongation. Together, our results establish a quantitative link between cortical tension, material properties and morphogenesis of an entire embryo.", "author" : [ { "dropping-particle" : "", "family" : "Vuong-Brender", "given" : "Thanh Thi Kim", "non-dropping-particle" : "", "parse-names" : false, "suffix" : "" }, { "dropping-particle" : "", "family" : "Amar", "given" : "Martine", "non-dropping-particle" : "Ben", "parse-names" : false, "suffix" : "" }, { "dropping-particle" : "", "family" : "Pontabry", "given" : "Julien", "non-dropping-particle" : "", "parse-names" : false, "suffix" : "" }, { "dropping-particle" : "", "family" : "Labouesse", "given" : "Michel", "non-dropping-particle" : "", "parse-names" : false, "suffix" : "" } ], "container-title" : "eLife", "id" : "ITEM-1", "issued" : { "date-parts" : [ [ "2017", "2", "15" ] ] }, "publisher" : "eLife Sciences Publications Ltd", "title" : "The interplay of stiffness and force anisotropies drives embryo elongation", "type" : "article-journal", "volume" : "6" }, "uris" : [ "http://www.mendeley.com/documents/?uuid=cccd0fcf-2760-3ec4-a0cb-fc59108eacfe" ] }, { "id" : "ITEM-2", "itemData" : { "DOI" : "10.1073/pnas.1916418117", "ISSN" : "10916490", "PMID" : "32467168", "abstract" : "Within developing embryos, tissues flow and reorganize dramatically on timescales as short as minutes. This includes epithelial tissues, which often narrow and elongate in convergent extension movements due to anisotropies in external forces or in internal cellgenerated forces. However, the mechanisms that allow or prevent tissue reorganization, especially in the presence of strongly anisotropic forces, remain unclear. We study this question in the converging and extending Drosophila germband epithelium, which displays planar-polarized myosin II and experiences anisotropic forces from neighboring tissues. We show that, in contrast to isotropic tissues, cell shape alone is not sufficient to predict the onset of rapid cell rearrangement. From theoretical considerations and vertex model simulations, we predict that in anisotropic tissues, two experimentally accessible metrics of cell patterns-the cell shape index and a cell alignment index-are required to determine whether an anisotropic tissue is in a solid-like or fluid-like state. We show that changes in cell shape and alignment over time in the Drosophila germband predict the onset of rapid cell rearrangement in both wild-type and snail twist mutant embryos, where our theoretical prediction is further improved when we also account for cell packing disorder. These findings suggest that convergent extension is associated with a transition to more fluid-like tissue behavior, which may help accommodate tissue-shape changes during rapid developmental events.", "author" : [ { "dropping-particle" : "", "family" : "Wang", "given" : "Xun", "non-dropping-particle" : "", "parse-names" : false, "suffix" : "" }, { "dropping-particle" : "", "family" : "Merkel", "given" : "Matthias", "non-dropping-particle" : "", "parse-names" : false, "suffix" : "" }, { "dropping-particle" : "", "family" : "Sutter", "given" : "Leo B.", "non-dropping-particle" : "", "parse-names" : false, "suffix" : "" }, { "dropping-particle" : "", "family" : "Erdemci-Tandogan", "given" : "Gonca", "non-dropping-particle" : "", "parse-names" : false, "suffix" : "" }, { "dropping-particle" : "", "family" : "Manning", "given" : "M. Lisa", "non-dropping-particle" : "", "parse-names" : false, "suffix" : "" }, { "dropping-particle" : "", "family" : "Kasza", "given" : "Karen E.", "non-dropping-particle" : "", "parse-names" : false, "suffix" : "" } ], "container-title" : "Proceedings of the National Academy of Sciences of the United States of America", "id" : "ITEM-2", "issue" : "24", "issued" : { "date-parts" : [ [ "2020", "6", "16" ] ] }, "page" : "13541-13551", "publisher" : "National Academy of Sciences", "title" : "Anisotropy links cell shapes to tissue flow during convergent extension", "type" : "article-journal", "volume" : "117" }, "uris" : [ "http://www.mendeley.com/documents/?uuid=636e11d9-eaf0-3bb2-8017-08aa01ec8bbb" ] }, { "id" : "ITEM-3", "itemData" : { "DOI" : "10.1002/macp.202100366", "ISSN" : "1022-1352", "author" : [ { "dropping-particle" : "", "family" : "Abrego", "given" : "Christian Jose Garcia", "non-dropping-particle" : "", "parse-names" : false, "suffix" : "" }, { "dropping-particle" : "", "family" : "Dedroog", "given" : "Lens", "non-dropping-particle" : "", "parse-names" : false, "suffix" : "" }, { "dropping-particle" : "", "family" : "Deschaume", "given" : "Olivier", "non-dropping-particle" : "", "parse-names" : false, "suffix" : "" }, { "dropping-particle" : "", "family" : "Wellens", "given" : "Jolan", "non-dropping-particle" : "", "parse-names" : false, "suffix" : "" }, { "dropping-particle" : "", "family" : "Vananroye", "given" : "Anja", "non-dropping-particle" : "", "parse-names" : false, "suffix" : "" }, { "dropping-particle" : "", "family" : "Lettinga", "given" : "Minne Paul", "non-dropping-particle" : "", "parse-names" : false, "suffix" : "" }, { "dropping-particle" : "", "family" : "Patterson", "given" : "Jennifer", "non-dropping-particle" : "", "parse-names" : false, "suffix" : "" }, { "dropping-particle" : "", "family" : "Bartic", "given" : "Carmen", "non-dropping-particle" : "", "parse-names" : false, "suffix" : "" } ], "container-title" : "Macromolecular Chemistry and Physics", "id" : "ITEM-3", "issued" : { "date-parts" : [ [ "2021", "11", "25" ] ] }, "page" : "2100366", "publisher" : "John Wiley &amp; Sons, Ltd", "title" : "Multiscale Characterization of the Mechanical Properties of Fibrin and Polyethylene Glycol (PEG) Hydrogels for Tissue Engineering Applications", "type" : "article-journal" }, "uris" : [ "http://www.mendeley.com/documents/?uuid=79b0182f-d82f-3984-96e0-29c400602c11" ] } ], "mendeley" : { "formattedCitation" : "[3\u20135]", "plainTextFormattedCitation" : "[3\u20135]", "previouslyFormattedCitation" : "[3\u20135]" }, "properties" : { "noteIndex" : 0 }, "schema" : "https://github.com/citation-style-language/schema/raw/master/csl-citation.json" }</w:instrText>
      </w:r>
      <w:r w:rsidRPr="00A93A6F">
        <w:rPr>
          <w:lang w:val="en-US"/>
        </w:rPr>
        <w:fldChar w:fldCharType="separate"/>
      </w:r>
      <w:r w:rsidR="00794DF9" w:rsidRPr="00A93A6F">
        <w:rPr>
          <w:noProof/>
          <w:lang w:val="en-US"/>
        </w:rPr>
        <w:t>[3–5]</w:t>
      </w:r>
      <w:r w:rsidRPr="00A93A6F">
        <w:rPr>
          <w:lang w:val="en-US"/>
        </w:rPr>
        <w:fldChar w:fldCharType="end"/>
      </w:r>
      <w:r w:rsidRPr="00A93A6F">
        <w:rPr>
          <w:lang w:val="en-US"/>
        </w:rPr>
        <w:t xml:space="preserve"> as well as in pathological developments such as tumorigenicity and metastases </w:t>
      </w:r>
      <w:r w:rsidRPr="00A93A6F">
        <w:rPr>
          <w:lang w:val="en-US"/>
        </w:rPr>
        <w:fldChar w:fldCharType="begin" w:fldLock="1"/>
      </w:r>
      <w:r w:rsidRPr="00A93A6F">
        <w:rPr>
          <w:lang w:val="en-US"/>
        </w:rPr>
        <w:instrText>ADDIN CSL_CITATION { "citationItems" : [ { "id" : "ITEM-1", "itemData" : { "DOI" : "10.1016/j.ajpath.2017.10.025", "ISSN" : "15252191", "PMID" : "29429545", "abstract" : "Inflammation, and the organization of collagen in the breast tumor microenvironment, is an important mediator of breast tumor progression. However, a direct link between markers of inflammation, collagen organization, and patient outcome has yet to be established. A tumor microarray of 371 invasive breast carcinoma biopsy specimens was analyzed for expression of inflammatory markers, including cyclooxygenase 2 (COX-2), macrophages, and several collagen features in the tumor nest (TN) or the tumor-associated stroma (TS). The tumor microarray cohort included females, aged 18 to 80 years, with a median follow-up of 8.4 years. High expression of COX-2 (TN), CD68 (TS), and CD163 (TN and TS) predicted worse patient overall survival (OS). This notion was strengthened by the finding from the multivariate analysis that high numbers of CD163 + macrophages in the TS is an independent prognostic factor. Overall collagen deposition was associated with high stromal expression of COX-2 and CD163; however, total collagen deposition was not a predictor for OS. Conversely, local collagen density, alignment and perpendicular alignment to the tumor boundary (tumor-associated collagen signature-3) were predictors of OS. These results suggest that in invasive carcinoma, the localization of inflammatory cells and aligned collagen orientation predict poor patient survival. Additional clinical studies may help validate whether therapy with selective COX-2 inhibitors alters expression of CD68 and CD163 inflammatory markers.", "author" : [ { "dropping-particle" : "", "family" : "Esbona", "given" : "Karla", "non-dropping-particle" : "", "parse-names" : false, "suffix" : "" }, { "dropping-particle" : "", "family" : "Yi", "given" : "Yanyao", "non-dropping-particle" : "", "parse-names" : false, "suffix" : "" }, { "dropping-particle" : "", "family" : "Saha", "given" : "Sandeep", "non-dropping-particle" : "", "parse-names" : false, "suffix" : "" }, { "dropping-particle" : "", "family" : "Yu", "given" : "Menggang", "non-dropping-particle" : "", "parse-names" : false, "suffix" : "" }, { "dropping-particle" : "", "family" : "Doorn", "given" : "Rachel R.", "non-dropping-particle" : "Van", "parse-names" : false, "suffix" : "" }, { "dropping-particle" : "", "family" : "Conklin", "given" : "Matthew W.", "non-dropping-particle" : "", "parse-names" : false, "suffix" : "" }, { "dropping-particle" : "", "family" : "Graham", "given" : "Douglas S.", "non-dropping-particle" : "", "parse-names" : false, "suffix" : "" }, { "dropping-particle" : "", "family" : "Wisinski", "given" : "Kari B.", "non-dropping-particle" : "", "parse-names" : false, "suffix" : "" }, { "dropping-particle" : "", "family" : "Ponik", "given" : "Suzanne M.", "non-dropping-particle" : "", "parse-names" : false, "suffix" : "" }, { "dropping-particle" : "", "family" : "Eliceiri", "given" : "Kevin W.", "non-dropping-particle" : "", "parse-names" : false, "suffix" : "" }, { "dropping-particle" : "", "family" : "Wilke", "given" : "Lee G.", "non-dropping-particle" : "", "parse-names" : false, "suffix" : "" }, { "dropping-particle" : "", "family" : "Keely", "given" : "Patricia J.", "non-dropping-particle" : "", "parse-names" : false, "suffix" : "" } ], "container-title" : "American Journal of Pathology", "id" : "ITEM-1", "issue" : "3", "issued" : { "date-parts" : [ [ "2018", "3", "1" ] ] }, "page" : "559-573", "publisher" : "Elsevier Inc.", "title" : "The Presence of Cyclooxygenase 2, Tumor-Associated Macrophages, and Collagen Alignment as Prognostic Markers for Invasive Breast Carcinoma Patients", "type" : "article-journal", "volume" : "188" }, "uris" : [ "http://www.mendeley.com/documents/?uuid=247d2f45-a67e-3db1-adb2-8b7218cf5b57" ] }, { "id" : "ITEM-2", "itemData" : { "DOI" : "10.1158/1055-9965.EPI-17-0720", "ISSN" : "10559965", "PMID" : "29141852", "abstract" : "Background: Collagen fibers surrounding breast ducts May influence breast cancer progression. Syndecan-1 interacts with constituents in the extracellular matrix, including collagen fibers, and May contribute to cancer cell migration. Thus, the orientation of collagen fibers surrounding ductal carcinoma in situ (DCIS) lesions and stromal syndecan-1 expression May predict recurrence. Methods: We evaluated collagen fiber alignment and syndecan-1 expression in 227 women diagnosed with DCIS in 1995 to 2006 followed through 2014 (median, 14.5 years; range, 0.7\u201317.6). Stromal collagen alignment was evaluated from diagnostic tissue slides using second harmonic generation microscopy and fiber analysis software. Univariate analysis was conducted using c2 tests and ANOVA. The association between collagen alignment z-scores, syndecan-1 staining intensity, and time to recurrence was evaluated using HRs and 95% confidence intervals (CIs). Results: Greater fiber angles surrounding DCIS lesions, but not syndecan-1 staining intensity, were related to positive HER2 (P \u00bc 0.002) status, comedo necrosis (P \u00bc 0.03), and negative estrogen receptor (P \u00bc 0.002) and progesterone receptor (P \u00bc 0.02) status. Fiber angle distributions surrounding lesions included more angles closer to 90 degrees than normal ducts (P \u00bc 0.06). Collagen alignment z-scores for DCIS lesions were positively related to recurrence (HR \u00bc 1.25; 95% CI, 0.84\u20131.87 for an interquartile range increase in average fiber angles). Conclusions: Although collagen alignment and stromal syndecan-1 expression did not predict recurrence, collagen fibers perpendicular to the duct perimeter were more frequent in DCIS lesions with features typical of poor prognosis. Impact: Follow-up studies are warranted to examine whether additional features of the collagen matrix May more strongly predict patient outcomes. Cancer Epidemiol Biomarkers Prev; 27(2); 138\u201345. 2017 AACR.", "author" : [ { "dropping-particle" : "", "family" : "Conklin", "given" : "Matthew W.", "non-dropping-particle" : "", "parse-names" : false, "suffix" : "" }, { "dropping-particle" : "", "family" : "Gangnon", "given" : "Ronald E.", "non-dropping-particle" : "", "parse-names" : false, "suffix" : "" }, { "dropping-particle" : "", "family" : "Sprague", "given" : "Brian L.", "non-dropping-particle" : "", "parse-names" : false, "suffix" : "" }, { "dropping-particle" : "", "family" : "Gemert", "given" : "Lisa", "non-dropping-particle" : "Van", "parse-names" : false, "suffix" : "" }, { "dropping-particle" : "", "family" : "Hampton", "given" : "John M.", "non-dropping-particle" : "", "parse-names" : false, "suffix" : "" }, { "dropping-particle" : "", "family" : "Eliceiri", "given" : "Kevin W.", "non-dropping-particle" : "", "parse-names" : false, "suffix" : "" }, { "dropping-particle" : "", "family" : "Bredfeldt", "given" : "Jeremy S.", "non-dropping-particle" : "", "parse-names" : false, "suffix" : "" }, { "dropping-particle" : "", "family" : "Liu", "given" : "Yuming", "non-dropping-particle" : "", "parse-names" : false, "suffix" : "" }, { "dropping-particle" : "", "family" : "Surachaicharn", "given" : "Nuntida", "non-dropping-particle" : "", "parse-names" : false, "suffix" : "" }, { "dropping-particle" : "", "family" : "Newcomb", "given" : "Polly A.", "non-dropping-particle" : "", "parse-names" : false, "suffix" : "" }, { "dropping-particle" : "", "family" : "Friedl", "given" : "Andreas", "non-dropping-particle" : "", "parse-names" : false, "suffix" : "" }, { "dropping-particle" : "", "family" : "Keely", "given" : "Patricia J.", "non-dropping-particle" : "", "parse-names" : false, "suffix" : "" }, { "dropping-particle" : "", "family" : "Trentham-Dietz", "given" : "Amy", "non-dropping-particle" : "", "parse-names" : false, "suffix" : "" } ], "container-title" : "Cancer Epidemiology Biomarkers and Prevention", "id" : "ITEM-2", "issue" : "2", "issued" : { "date-parts" : [ [ "2018", "2", "1" ] ] }, "page" : "138-145", "publisher" : "American Association for Cancer Research Inc.", "title" : "Collagen alignment as a predictor of recurrence after ductal carcinoma in situ", "type" : "article-journal", "volume" : "27" }, "uris" : [ "http://www.mendeley.com/documents/?uuid=1e48eb1d-b69f-32c0-bb98-0ac2944d2312" ] }, { "id" : "ITEM-3", "itemData" : { "DOI" : "10.1016/j.bpj.2017.01.007", "ISSN" : "15420086", "PMID" : "28297639", "abstract" : "Directed cell migration by contact guidance in aligned collagenous extracellular matrix (ECM) is a critical enabler of breast cancer dissemination. The mechanisms of this process are poorly understood, particularly in 3D, in part because of the lack of efficient methods to generate aligned collagen matrices. To address this technological gap, we propose a simple method to align collagen gels using guided cellular compaction. Our method yields highly aligned, acellular collagen constructs with predictable microstructural features, thus providing a controlled microenvironment for in vitro experiments. Quantifying cell behavior in these anisotropic constructs, we find that breast carcinoma cells are acutely sensitive to the direction and extent of collagen alignment. Further, live cell imaging and analysis of 3D cell migration reveals that alignment of collagen does not alter the total motility of breast cancer cells, but simply redirects their migration to produce largely one-dimensional movement. However, a profoundly enhanced motility in aligned collagen matrices is observed for the subpopulation of carcinoma cells with high tumor initiating and metastatic capacity, termed cancer stem cells (CSCs). Analysis of the biophysical determinants of cell migration show that nuclear deformation is not a critical factor associated with the observed increases in motility for CSCs. Rather, smaller cell size, a high degree of phenotypic plasticity, and increased protrusive activity emerge as vital facilitators of rapid, contact-guided migration of CSCs in aligned 3D collagen matrices.", "author" : [ { "dropping-particle" : "", "family" : "Ray", "given" : "Arja", "non-dropping-particle" : "", "parse-names" : false, "suffix" : "" }, { "dropping-particle" : "", "family" : "Slama", "given" : "Zachary M.", "non-dropping-particle" : "", "parse-names" : false, "suffix" : "" }, { "dropping-particle" : "", "family" : "Morford", "given" : "Rachel K.", "non-dropping-particle" : "", "parse-names" : false, "suffix" : "" }, { "dropping-particle" : "", "family" : "Madden", "given" : "Samantha A.", "non-dropping-particle" : "", "parse-names" : false, "suffix" : "" }, { "dropping-particle" : "", "family" : "Provenzano", "given" : "Paolo P.", "non-dropping-particle" : "", "parse-names" : false, "suffix" : "" } ], "container-title" : "Biophysical Journal", "id" : "ITEM-3", "issue" : "5", "issued" : { "date-parts" : [ [ "2017", "3", "14" ] ] }, "page" : "1023-1036", "publisher" : "Biophys J", "title" : "Enhanced Directional Migration of Cancer Stem Cells in 3D Aligned Collagen Matrices", "type" : "article-journal", "volume" : "112" }, "uris" : [ "http://www.mendeley.com/documents/?uuid=a9a37741-c5a4-346e-bdf2-e2dd534f446a" ] } ], "mendeley" : { "formattedCitation" : "[6\u20138]", "plainTextFormattedCitation" : "[6\u20138]", "previouslyFormattedCitation" : "[6\u20138]" }, "properties" : { "noteIndex" : 0 }, "schema" : "https://github.com/citation-style-language/schema/raw/master/csl-citation.json" }</w:instrText>
      </w:r>
      <w:r w:rsidRPr="00A93A6F">
        <w:rPr>
          <w:lang w:val="en-US"/>
        </w:rPr>
        <w:fldChar w:fldCharType="separate"/>
      </w:r>
      <w:r w:rsidR="00794DF9" w:rsidRPr="00A93A6F">
        <w:rPr>
          <w:noProof/>
          <w:lang w:val="en-US"/>
        </w:rPr>
        <w:t>[6–8]</w:t>
      </w:r>
      <w:r w:rsidRPr="00A93A6F">
        <w:rPr>
          <w:lang w:val="en-US"/>
        </w:rPr>
        <w:fldChar w:fldCharType="end"/>
      </w:r>
      <w:r w:rsidRPr="00A93A6F">
        <w:rPr>
          <w:lang w:val="en-US"/>
        </w:rPr>
        <w:t>. Physical cues are applied to the enveloped cells through the highly organized</w:t>
      </w:r>
      <w:r w:rsidR="00EC1922" w:rsidRPr="00A93A6F">
        <w:rPr>
          <w:lang w:val="en-US"/>
        </w:rPr>
        <w:t>, multiscale</w:t>
      </w:r>
      <w:r w:rsidRPr="00A93A6F">
        <w:rPr>
          <w:lang w:val="en-US"/>
        </w:rPr>
        <w:t xml:space="preserve"> </w:t>
      </w:r>
      <w:r w:rsidR="00EC1922" w:rsidRPr="00A93A6F">
        <w:rPr>
          <w:lang w:val="en-US"/>
        </w:rPr>
        <w:t xml:space="preserve">fibrillar hydrogel </w:t>
      </w:r>
      <w:r w:rsidRPr="00A93A6F">
        <w:rPr>
          <w:lang w:val="en-US"/>
        </w:rPr>
        <w:t xml:space="preserve">scaffold of the ECM </w:t>
      </w:r>
      <w:r w:rsidRPr="00A93A6F">
        <w:rPr>
          <w:lang w:val="en-US"/>
        </w:rPr>
        <w:fldChar w:fldCharType="begin" w:fldLock="1"/>
      </w:r>
      <w:r w:rsidRPr="00A93A6F">
        <w:rPr>
          <w:lang w:val="en-US"/>
        </w:rPr>
        <w:instrText>ADDIN CSL_CITATION { "citationItems" : [ { "id" : "ITEM-1", "itemData" : { "DOI" : "10.1038/nrm3902", "ISSN" : "14710080", "PMID" : "25370693", "abstract" : "The biochemical and biophysical properties of the extracellular matrix (ECM) dictate tissue-specific cell behaviour. The molecules that are associated with the ECM of each tissue, including collagens, proteoglycans, laminins and fibronectin, and the manner in which they are assembled determine the structure and the organization of the resultant ECM. The product is a specific ECM signature that is comprised of unique compositional and topographical features that both reflect and facilitate the functional requirements of the tissue.", "author" : [ { "dropping-particle" : "", "family" : "Mouw", "given" : "Janna K.", "non-dropping-particle" : "", "parse-names" : false, "suffix" : "" }, { "dropping-particle" : "", "family" : "Ou", "given" : "Guanqing", "non-dropping-particle" : "", "parse-names" : false, "suffix" : "" }, { "dropping-particle" : "", "family" : "Weaver", "given" : "Valerie M.", "non-dropping-particle" : "", "parse-names" : false, "suffix" : "" } ], "container-title" : "Nature Reviews Molecular Cell Biology", "id" : "ITEM-1", "issue" : "12", "issued" : { "date-parts" : [ [ "2014", "12", "11" ] ] }, "page" : "771-785", "publisher" : "Nat Rev Mol Cell Biol", "title" : "Extracellular matrix assembly: A multiscale deconstruction", "type" : "article", "volume" : "15" }, "uris" : [ "http://www.mendeley.com/documents/?uuid=f8fba90d-d298-3492-9ac9-fb1026acfeeb" ] } ], "mendeley" : { "formattedCitation" : "[9]", "plainTextFormattedCitation" : "[9]", "previouslyFormattedCitation" : "[9]" }, "properties" : { "noteIndex" : 0 }, "schema" : "https://github.com/citation-style-language/schema/raw/master/csl-citation.json" }</w:instrText>
      </w:r>
      <w:r w:rsidRPr="00A93A6F">
        <w:rPr>
          <w:lang w:val="en-US"/>
        </w:rPr>
        <w:fldChar w:fldCharType="separate"/>
      </w:r>
      <w:r w:rsidR="00794DF9" w:rsidRPr="00A93A6F">
        <w:rPr>
          <w:noProof/>
          <w:lang w:val="en-US"/>
        </w:rPr>
        <w:t>[9]</w:t>
      </w:r>
      <w:r w:rsidRPr="00A93A6F">
        <w:rPr>
          <w:lang w:val="en-US"/>
        </w:rPr>
        <w:fldChar w:fldCharType="end"/>
      </w:r>
      <w:r w:rsidRPr="00A93A6F">
        <w:rPr>
          <w:lang w:val="en-US"/>
        </w:rPr>
        <w:fldChar w:fldCharType="begin" w:fldLock="1"/>
      </w:r>
      <w:r w:rsidRPr="00A93A6F">
        <w:rPr>
          <w:lang w:val="en-US"/>
        </w:rPr>
        <w:instrText>ADDIN CSL_CITATION { "citationItems" : [ { "id" : "ITEM-1", "itemData" : { "DOI" : "10.1002/wsbm.1174", "ISSN" : "19395094", "PMID" : "22615143", "abstract" : "Extensive efforts have been made to understand the effects of extracellular microenvironments on phenotypic activities for a wide array of stem, progenitor, and precursor cells. Hydrogels have emerged as invaluable platforms for examining the effects of extracellular matrix (ECM) properties on cell activities because of their several advantageous features. Specifically, hydrogels are unique materials that enable cell studies in three-dimensional (3D) environments, similar to in vivo environments. Recently, there have been increasing efforts to assemble cell-encapsulating hydrogels; however, hydrogel design strategies for 3D cell cultures have not been systematically discussed to date. Therefore, this review article summarizes current hydrogel designs for 3D cell culture studies and further discusses current challenges and potential resolutions for enhancing the controllability of hydrogel properties and microstructures. The hydrogels discussed herein include those of natural polymers (e.g., collagen, fibrinogen, alginate, and hyaluronic acids), synthetic polymers [e.g., poly(ethylene glycol) (PEG) and its derivatives], and mixtures of natural and synthetic polymers. We envision that hydrogels that enable 3D studies will greatly assist in the understanding of emergent cell behaviors, and ultimately become important biomedical tools for enhancing the quality of in vitro drug screening and clinical treatments. \u00a9 2012 John Wiley &amp; Sons, Inc.", "author" : [ { "dropping-particle" : "", "family" : "Devolder", "given" : "Ross", "non-dropping-particle" : "", "parse-names" : false, "suffix" : "" }, { "dropping-particle" : "", "family" : "Kong", "given" : "Hyun Joon", "non-dropping-particle" : "", "parse-names" : false, "suffix" : "" } ], "container-title" : "Wiley Interdisciplinary Reviews: Systems Biology and Medicine", "id" : "ITEM-1", "issue" : "4", "issued" : { "date-parts" : [ [ "2012", "7" ] ] }, "page" : "351-365", "publisher" : "Wiley Interdiscip Rev Syst Biol Med", "title" : "Hydrogels for in vivo-like three-dimensional cellular studies", "type" : "article", "volume" : "4" }, "uris" : [ "http://www.mendeley.com/documents/?uuid=d4f10f7f-7c87-3bbb-b30a-278b592b22eb" ] } ], "mendeley" : { "formattedCitation" : "[10]", "plainTextFormattedCitation" : "[10]", "previouslyFormattedCitation" : "[10]" }, "properties" : { "noteIndex" : 0 }, "schema" : "https://github.com/citation-style-language/schema/raw/master/csl-citation.json" }</w:instrText>
      </w:r>
      <w:r w:rsidRPr="00A93A6F">
        <w:rPr>
          <w:lang w:val="en-US"/>
        </w:rPr>
        <w:fldChar w:fldCharType="separate"/>
      </w:r>
      <w:r w:rsidR="00794DF9" w:rsidRPr="00A93A6F">
        <w:rPr>
          <w:noProof/>
          <w:lang w:val="en-US"/>
        </w:rPr>
        <w:t>[10]</w:t>
      </w:r>
      <w:r w:rsidRPr="00A93A6F">
        <w:rPr>
          <w:lang w:val="en-US"/>
        </w:rPr>
        <w:fldChar w:fldCharType="end"/>
      </w:r>
      <w:r w:rsidRPr="00A93A6F">
        <w:rPr>
          <w:lang w:val="en-US"/>
        </w:rPr>
        <w:t>. In ECM engineering, the goal is thus to develop a 3D hydrogel system that fully mimics the tissue-specific</w:t>
      </w:r>
      <w:r w:rsidR="001935C1" w:rsidRPr="00A93A6F">
        <w:rPr>
          <w:lang w:val="en-US"/>
        </w:rPr>
        <w:t xml:space="preserve"> </w:t>
      </w:r>
      <w:r w:rsidR="001935C1" w:rsidRPr="00A93A6F">
        <w:rPr>
          <w:i/>
          <w:iCs/>
          <w:lang w:val="en-US"/>
        </w:rPr>
        <w:t>in vivo</w:t>
      </w:r>
      <w:r w:rsidRPr="00A93A6F">
        <w:rPr>
          <w:lang w:val="en-US"/>
        </w:rPr>
        <w:t xml:space="preserve"> environment </w:t>
      </w:r>
      <w:r w:rsidRPr="00A93A6F">
        <w:rPr>
          <w:lang w:val="en-US"/>
        </w:rPr>
        <w:fldChar w:fldCharType="begin" w:fldLock="1"/>
      </w:r>
      <w:r w:rsidRPr="00A93A6F">
        <w:rPr>
          <w:lang w:val="en-US"/>
        </w:rPr>
        <w:instrText>ADDIN CSL_CITATION { "citationItems" : [ { "id" : "ITEM-1", "itemData" : { "DOI" : "10.1002/wsbm.1174", "ISSN" : "19395094", "PMID" : "22615143", "abstract" : "Extensive efforts have been made to understand the effects of extracellular microenvironments on phenotypic activities for a wide array of stem, progenitor, and precursor cells. Hydrogels have emerged as invaluable platforms for examining the effects of extracellular matrix (ECM) properties on cell activities because of their several advantageous features. Specifically, hydrogels are unique materials that enable cell studies in three-dimensional (3D) environments, similar to in vivo environments. Recently, there have been increasing efforts to assemble cell-encapsulating hydrogels; however, hydrogel design strategies for 3D cell cultures have not been systematically discussed to date. Therefore, this review article summarizes current hydrogel designs for 3D cell culture studies and further discusses current challenges and potential resolutions for enhancing the controllability of hydrogel properties and microstructures. The hydrogels discussed herein include those of natural polymers (e.g., collagen, fibrinogen, alginate, and hyaluronic acids), synthetic polymers [e.g., poly(ethylene glycol) (PEG) and its derivatives], and mixtures of natural and synthetic polymers. We envision that hydrogels that enable 3D studies will greatly assist in the understanding of emergent cell behaviors, and ultimately become important biomedical tools for enhancing the quality of in vitro drug screening and clinical treatments. \u00a9 2012 John Wiley &amp; Sons, Inc.", "author" : [ { "dropping-particle" : "", "family" : "Devolder", "given" : "Ross", "non-dropping-particle" : "", "parse-names" : false, "suffix" : "" }, { "dropping-particle" : "", "family" : "Kong", "given" : "Hyun Joon", "non-dropping-particle" : "", "parse-names" : false, "suffix" : "" } ], "container-title" : "Wiley Interdisciplinary Reviews: Systems Biology and Medicine", "id" : "ITEM-1", "issue" : "4", "issued" : { "date-parts" : [ [ "2012", "7" ] ] }, "page" : "351-365", "publisher" : "Wiley Interdiscip Rev Syst Biol Med", "title" : "Hydrogels for in vivo-like three-dimensional cellular studies", "type" : "article", "volume" : "4" }, "uris" : [ "http://www.mendeley.com/documents/?uuid=d4f10f7f-7c87-3bbb-b30a-278b592b22eb" ] } ], "mendeley" : { "formattedCitation" : "[10]", "plainTextFormattedCitation" : "[10]", "previouslyFormattedCitation" : "[10]" }, "properties" : { "noteIndex" : 0 }, "schema" : "https://github.com/citation-style-language/schema/raw/master/csl-citation.json" }</w:instrText>
      </w:r>
      <w:r w:rsidRPr="00A93A6F">
        <w:rPr>
          <w:lang w:val="en-US"/>
        </w:rPr>
        <w:fldChar w:fldCharType="separate"/>
      </w:r>
      <w:r w:rsidR="00794DF9" w:rsidRPr="00A93A6F">
        <w:rPr>
          <w:noProof/>
          <w:lang w:val="en-US"/>
        </w:rPr>
        <w:t>[10]</w:t>
      </w:r>
      <w:r w:rsidRPr="00A93A6F">
        <w:rPr>
          <w:lang w:val="en-US"/>
        </w:rPr>
        <w:fldChar w:fldCharType="end"/>
      </w:r>
      <w:r w:rsidRPr="00A93A6F">
        <w:rPr>
          <w:lang w:val="en-US"/>
        </w:rPr>
        <w:fldChar w:fldCharType="begin" w:fldLock="1"/>
      </w:r>
      <w:r w:rsidRPr="00A93A6F">
        <w:rPr>
          <w:lang w:val="en-US"/>
        </w:rPr>
        <w:instrText>ADDIN CSL_CITATION { "citationItems" : [ { "id" : "ITEM-1", "itemData" : { "DOI" : "10.1155/2018/2495848", "ISSN" : "16879678", "PMID" : "30154861", "abstract" : "Humans and animals lose tissues and organs due to congenital defects, trauma, and diseases. The human body has a low regenerative potential as opposed to the urodele amphibians commonly referred to as salamanders. Globally, millions of people would benefit immensely if tissues and organs can be replaced on demand. Traditionally, transplantation of intact tissues and organs has been the bedrock to replace damaged and diseased parts of the body. The sole reliance on transplantation has created a waiting list of people requiring donated tissues and organs, and generally, supply cannot meet the demand. The total cost to society in terms of caring for patients with failing organs and debilitating diseases is enormous. Scientists and clinicians, motivated by the need to develop safe and reliable sources of tissues and organs, have been improving therapies and technologies that can regenerate tissues and in some cases create new tissues altogether. Tissue engineering and/or regenerative medicine are fields of life science employing both engineering and biological principles to create new tissues and organs and to promote the regeneration of damaged or diseased tissues and organs. Major advances and innovations are being made in the fields of tissue engineering and regenerative medicine and have a huge impact on three-dimensional bioprinting (3D bioprinting) of tissues and organs. 3D bioprinting holds great promise for artificial tissue and organ bioprinting, thereby revolutionizing the field of regenerative medicine. This review discusses how recent advances in the field of regenerative medicine and tissue engineering can improve 3D bioprinting and vice versa. Several challenges must be overcome in the application of 3D bioprinting before this disruptive technology is widely used to create organotypic constructs for regenerative medicine.", "author" : [ { "dropping-particle" : "", "family" : "Dzobo", "given" : "Kevin", "non-dropping-particle" : "", "parse-names" : false, "suffix" : "" }, { "dropping-particle" : "", "family" : "Thomford", "given" : "Nicholas Ekow", "non-dropping-particle" : "", "parse-names" : false, "suffix" : "" }, { "dropping-particle" : "", "family" : "Senthebane", "given" : "Dimakatso Alice", "non-dropping-particle" : "", "parse-names" : false, "suffix" : "" }, { "dropping-particle" : "", "family" : "Shipanga", "given" : "Hendrina", "non-dropping-particle" : "", "parse-names" : false, "suffix" : "" }, { "dropping-particle" : "", "family" : "Rowe", "given" : "Arielle", "non-dropping-particle" : "", "parse-names" : false, "suffix" : "" }, { "dropping-particle" : "", "family" : "Dandara", "given" : "Collet", "non-dropping-particle" : "", "parse-names" : false, "suffix" : "" }, { "dropping-particle" : "", "family" : "Pillay", "given" : "Michael", "non-dropping-particle" : "", "parse-names" : false, "suffix" : "" }, { "dropping-particle" : "", "family" : "Motaung", "given" : "Keolebogile Shirley Caroline M.", "non-dropping-particle" : "", "parse-names" : false, "suffix" : "" } ], "container-title" : "Stem Cells International", "id" : "ITEM-1", "issued" : { "date-parts" : [ [ "2018" ] ] }, "publisher" : "Stem Cells Int", "title" : "Advances in regenerative medicine and tissue engineering: Innovation and transformation of medicine", "type" : "article-journal", "volume" : "2018" }, "uris" : [ "http://www.mendeley.com/documents/?uuid=cde5b5d9-4de5-39f1-ac66-941249e2cebc" ] } ], "mendeley" : { "formattedCitation" : "[2]", "plainTextFormattedCitation" : "[2]", "previouslyFormattedCitation" : "[2]" }, "properties" : { "noteIndex" : 0 }, "schema" : "https://github.com/citation-style-language/schema/raw/master/csl-citation.json" }</w:instrText>
      </w:r>
      <w:r w:rsidRPr="00A93A6F">
        <w:rPr>
          <w:lang w:val="en-US"/>
        </w:rPr>
        <w:fldChar w:fldCharType="separate"/>
      </w:r>
      <w:r w:rsidR="00794DF9" w:rsidRPr="00A93A6F">
        <w:rPr>
          <w:noProof/>
          <w:lang w:val="en-US"/>
        </w:rPr>
        <w:t>[2]</w:t>
      </w:r>
      <w:r w:rsidRPr="00A93A6F">
        <w:rPr>
          <w:lang w:val="en-US"/>
        </w:rPr>
        <w:fldChar w:fldCharType="end"/>
      </w:r>
      <w:r w:rsidRPr="00A93A6F">
        <w:rPr>
          <w:lang w:val="en-US"/>
        </w:rPr>
        <w:t xml:space="preserve">. Commonly investigated candidates are the naturally derived hydrogel systems collagen and fibrin due to their tissue ubiquity, inherent biocompatibility and degradability for a wide range of cell types </w:t>
      </w:r>
      <w:r w:rsidRPr="00A93A6F">
        <w:rPr>
          <w:lang w:val="en-US"/>
        </w:rPr>
        <w:fldChar w:fldCharType="begin" w:fldLock="1"/>
      </w:r>
      <w:r w:rsidRPr="00A93A6F">
        <w:rPr>
          <w:lang w:val="en-US"/>
        </w:rPr>
        <w:instrText>ADDIN CSL_CITATION { "citationItems" : [ { "id" : "ITEM-1", "itemData" : { "DOI" : "10.1016/j.msec.2018.04.101", "ISSN" : "09284931", "PMID" : "30033251", "abstract" : "Hydrogels based on natural polymers offer a range of properties to mimic the native extracellular matrix, and provide microenvironments to preserve cellular function and encourage tissue formation. A tri-component hydrogel using collagen, alginate and fibrin (CAF) was developed and investigated at three collagen concentrations for application as a functional extracellular matrix analogue. Physical-chemical characterization of CAF hydrogels demonstrated a thermo-responsive crosslinking capacity at physiological conditions with stiffness similar to native soft tissues. CAF hydrogels were also assessed for cytocompatibility using L929 murine fibroblasts, pancreatic MIN6 \u03b2-cells and human mesenchymal stem cells (hMSCs); and demonstrated good cell viability, proliferation and metabolic activity after 7 days of in vitro culture. CAF hydrogels, especially with 2.5% w/v collagen, increased alkaline phosphatase production in hMSCs indicating potential for the promotion of osteogenic activity. Moreover, CAF hydrogels also increased metabolic activity of MIN6 \u03b2-cells and promoted the reconstitution of spherical pseudoislets with sizes ranging between 50 and 150 \u03bcm at day 7, demonstrating potential in diabetic therapeutic applications.", "author" : [ { "dropping-particle" : "", "family" : "Montalbano", "given" : "G.", "non-dropping-particle" : "", "parse-names" : false, "suffix" : "" }, { "dropping-particle" : "", "family" : "Toumpaniari", "given" : "S.", "non-dropping-particle" : "", "parse-names" : false, "suffix" : "" }, { "dropping-particle" : "", "family" : "Popov", "given" : "A.", "non-dropping-particle" : "", "parse-names" : false, "suffix" : "" }, { "dropping-particle" : "", "family" : "Duan", "given" : "P.", "non-dropping-particle" : "", "parse-names" : false, "suffix" : "" }, { "dropping-particle" : "", "family" : "Chen", "given" : "J.", "non-dropping-particle" : "", "parse-names" : false, "suffix" : "" }, { "dropping-particle" : "", "family" : "Dalgarno", "given" : "K.", "non-dropping-particle" : "", "parse-names" : false, "suffix" : "" }, { "dropping-particle" : "", "family" : "Scott", "given" : "W. E.", "non-dropping-particle" : "", "parse-names" : false, "suffix" : "" }, { "dropping-particle" : "", "family" : "Ferreira", "given" : "A. M.", "non-dropping-particle" : "", "parse-names" : false, "suffix" : "" } ], "container-title" : "Materials Science and Engineering C", "id" : "ITEM-1", "issued" : { "date-parts" : [ [ "2018", "10", "1" ] ] }, "page" : "236-246", "publisher" : "Elsevier", "title" : "Synthesis of bioinspired collagen/alginate/fibrin based hydrogels for soft tissue engineering", "type" : "article-journal", "volume" : "91" }, "uris" : [ "http://www.mendeley.com/documents/?uuid=7398a56d-61cf-3403-9ce1-b485d503c05f" ] } ], "mendeley" : { "formattedCitation" : "[11]", "plainTextFormattedCitation" : "[11]", "previouslyFormattedCitation" : "[11]" }, "properties" : { "noteIndex" : 0 }, "schema" : "https://github.com/citation-style-language/schema/raw/master/csl-citation.json" }</w:instrText>
      </w:r>
      <w:r w:rsidRPr="00A93A6F">
        <w:rPr>
          <w:lang w:val="en-US"/>
        </w:rPr>
        <w:fldChar w:fldCharType="separate"/>
      </w:r>
      <w:r w:rsidR="00794DF9" w:rsidRPr="00A93A6F">
        <w:rPr>
          <w:noProof/>
          <w:lang w:val="en-US"/>
        </w:rPr>
        <w:t>[11]</w:t>
      </w:r>
      <w:r w:rsidRPr="00A93A6F">
        <w:rPr>
          <w:lang w:val="en-US"/>
        </w:rPr>
        <w:fldChar w:fldCharType="end"/>
      </w:r>
      <w:r w:rsidRPr="00A93A6F">
        <w:rPr>
          <w:lang w:val="en-US"/>
        </w:rPr>
        <w:t xml:space="preserve">. Collagen-based systems are especially of interest due to the possibility to measure </w:t>
      </w:r>
      <w:r w:rsidR="006759AA" w:rsidRPr="00A93A6F">
        <w:rPr>
          <w:lang w:val="en-US"/>
        </w:rPr>
        <w:t xml:space="preserve">morphological parameters of </w:t>
      </w:r>
      <w:r w:rsidRPr="00A93A6F">
        <w:rPr>
          <w:lang w:val="en-US"/>
        </w:rPr>
        <w:t>the 3D hydrogel network</w:t>
      </w:r>
      <w:r w:rsidR="00DE3887" w:rsidRPr="00A93A6F">
        <w:rPr>
          <w:lang w:val="en-US"/>
        </w:rPr>
        <w:t xml:space="preserve"> (such as fiber size, shape, orientation and pore size) in a </w:t>
      </w:r>
      <w:r w:rsidRPr="00A93A6F">
        <w:rPr>
          <w:lang w:val="en-US"/>
        </w:rPr>
        <w:t xml:space="preserve">label-free </w:t>
      </w:r>
      <w:r w:rsidR="00DE3887" w:rsidRPr="00A93A6F">
        <w:rPr>
          <w:lang w:val="en-US"/>
        </w:rPr>
        <w:t xml:space="preserve">way by </w:t>
      </w:r>
      <w:r w:rsidRPr="00A93A6F">
        <w:rPr>
          <w:lang w:val="en-US"/>
        </w:rPr>
        <w:t xml:space="preserve">confocal reflection microscopy </w:t>
      </w:r>
      <w:r w:rsidRPr="00A93A6F">
        <w:rPr>
          <w:lang w:val="en-US"/>
        </w:rPr>
        <w:fldChar w:fldCharType="begin" w:fldLock="1"/>
      </w:r>
      <w:r w:rsidRPr="00A93A6F">
        <w:rPr>
          <w:lang w:val="en-US"/>
        </w:rPr>
        <w:instrText>ADDIN CSL_CITATION { "citationItems" : [ { "id" : "ITEM-1", "itemData" : { "DOI" : "10.1016/j.bpj.2008.10.063", "ISSN" : "15420086", "PMID" : "19217873", "abstract" : "In this work, the gelation of three-dimensional collagen and collagen/hyaluronan (HA) composites is studied by time sweep rheology and time lapse confocal reflectance microscopy (CRM). To investigate the complementary nature of these techniques, first collagen gel formation is investigated at concentrations of 0.5, 1.0, and 1.5 mg/mL at 37\u00b0C and 32\u00b0C. The following parameters are used to describe the self-assembly process in all gels: the crossover time (tc), the slope of the growth phase (k g), and the arrest time (ta). The first two measures are determined by rheology, and the third by CRM. A frequency-independent rheological measure of gelation, tg, is also measured at 37\u00b0C. However, this quantity cannot be straightforwardly determined for gels formed at 32\u00b0C, indicating that percolation theory does not fully capture the dynamics of collagen network formation. The effects of collagen concentration and gelation temperature on kg, tc, and ta as well as on the mechanical properties and structure of these gels both during gelation and at equilibrium are elucidated. Composite collagen/HA gels are also prepared, and their properties are monitored at equilibrium and during gelation at 37\u00b0C and 32\u00b0C. We show that addition of HA subtly alters mechanical properties and structure of these systems both during the gelation process and at equilibrium. This occurs in a temperature-dependent manner, with the ratio of HA deposited on collagen fibers versus that distributed homogeneously between fibers increasing with decreasing gelation temperature. In addition to providing information on collagen and collagen/HA structure and mechanical properties during gelation, this work shows new ways in which rheology and microscopy can be used complementarily to reveal details of gelation processes. \u00a9 2009 by the Biophysical Society.", "author" : [ { "dropping-particle" : "", "family" : "Yang", "given" : "Ya Li", "non-dropping-particle" : "", "parse-names" : false, "suffix" : "" }, { "dropping-particle" : "", "family" : "Kaufman", "given" : "Laura J.", "non-dropping-particle" : "", "parse-names" : false, "suffix" : "" } ], "container-title" : "Biophysical Journal", "id" : "ITEM-1", "issue" : "4", "issued" : { "date-parts" : [ [ "2009", "2", "18" ] ] }, "page" : "1566-1585", "publisher" : "Cell Press", "title" : "Rheology and confocal reflectance microscopy as probes of mechanical properties and structure during collagen and collagen/hyaluronan self-assembly", "type" : "article-journal", "volume" : "96" }, "uris" : [ "http://www.mendeley.com/documents/?uuid=cfad0073-4a1d-3a4a-b99c-1a183ac3602b" ] } ], "mendeley" : { "formattedCitation" : "[12]", "plainTextFormattedCitation" : "[12]", "previouslyFormattedCitation" : "[12]" }, "properties" : { "noteIndex" : 0 }, "schema" : "https://github.com/citation-style-language/schema/raw/master/csl-citation.json" }</w:instrText>
      </w:r>
      <w:r w:rsidRPr="00A93A6F">
        <w:rPr>
          <w:lang w:val="en-US"/>
        </w:rPr>
        <w:fldChar w:fldCharType="separate"/>
      </w:r>
      <w:r w:rsidR="00794DF9" w:rsidRPr="00A93A6F">
        <w:rPr>
          <w:noProof/>
          <w:lang w:val="en-US"/>
        </w:rPr>
        <w:t>[12]</w:t>
      </w:r>
      <w:r w:rsidRPr="00A93A6F">
        <w:rPr>
          <w:lang w:val="en-US"/>
        </w:rPr>
        <w:fldChar w:fldCharType="end"/>
      </w:r>
      <w:r w:rsidRPr="00A93A6F">
        <w:rPr>
          <w:lang w:val="en-US"/>
        </w:rPr>
        <w:t xml:space="preserve"> or second harmonic generation (SHG) </w:t>
      </w:r>
      <w:r w:rsidRPr="00A93A6F">
        <w:rPr>
          <w:lang w:val="en-US"/>
        </w:rPr>
        <w:fldChar w:fldCharType="begin" w:fldLock="1"/>
      </w:r>
      <w:r w:rsidRPr="00A93A6F">
        <w:rPr>
          <w:lang w:val="en-US"/>
        </w:rPr>
        <w:instrText>ADDIN CSL_CITATION { "citationItems" : [ { "id" : "ITEM-1", "itemData" : { "DOI" : "10.1016/S1047-8477(02)00576-2", "ISSN" : "10478477", "PMID" : "12576020", "abstract" : "Collagen is the most important structural protein of the animal body. Its unique triple-helix structure and extremely high level of crystallinity make it exceptionally efficient in generating the second harmonic of incident light, and we show here how this leads to a novel mode of microscopy of immediate practical significance in medicine and biology. In particular, it provides sensitive and high-resolution information on collagen distribution, discriminates between type I and type III collagen, and allows both a greater understanding of and a sensitive test for cirrhosis of the liver. Future research applications could include wound healing and hereditary collagen diseases such as osteogenesis imperfecta. \u00a9 2002 Elsevier Science (USA). All rights reserved.", "author" : [ { "dropping-particle" : "", "family" : "Cox", "given" : "Guy", "non-dropping-particle" : "", "parse-names" : false, "suffix" : "" }, { "dropping-particle" : "", "family" : "Kable", "given" : "Eleanor", "non-dropping-particle" : "", "parse-names" : false, "suffix" : "" }, { "dropping-particle" : "", "family" : "Jones", "given" : "Allan", "non-dropping-particle" : "", "parse-names" : false, "suffix" : "" }, { "dropping-particle" : "", "family" : "Fraser", "given" : "Ian", "non-dropping-particle" : "", "parse-names" : false, "suffix" : "" }, { "dropping-particle" : "", "family" : "Manconi", "given" : "Frank", "non-dropping-particle" : "", "parse-names" : false, "suffix" : "" }, { "dropping-particle" : "", "family" : "Gorrell", "given" : "Mark D.", "non-dropping-particle" : "", "parse-names" : false, "suffix" : "" } ], "container-title" : "Journal of Structural Biology", "id" : "ITEM-1", "issue" : "1", "issued" : { "date-parts" : [ [ "2003", "1", "1" ] ] }, "page" : "53-62", "publisher" : "J Struct Biol", "title" : "3-Dimensional imaging of collagen using second harmonic generation", "type" : "article-journal", "volume" : "141" }, "uris" : [ "http://www.mendeley.com/documents/?uuid=74cbf609-59b6-3c8f-936c-568722a799a5" ] } ], "mendeley" : { "formattedCitation" : "[13]", "plainTextFormattedCitation" : "[13]", "previouslyFormattedCitation" : "[13]" }, "properties" : { "noteIndex" : 0 }, "schema" : "https://github.com/citation-style-language/schema/raw/master/csl-citation.json" }</w:instrText>
      </w:r>
      <w:r w:rsidRPr="00A93A6F">
        <w:rPr>
          <w:lang w:val="en-US"/>
        </w:rPr>
        <w:fldChar w:fldCharType="separate"/>
      </w:r>
      <w:r w:rsidR="00794DF9" w:rsidRPr="00A93A6F">
        <w:rPr>
          <w:noProof/>
          <w:lang w:val="en-US"/>
        </w:rPr>
        <w:t>[13]</w:t>
      </w:r>
      <w:r w:rsidRPr="00A93A6F">
        <w:rPr>
          <w:lang w:val="en-US"/>
        </w:rPr>
        <w:fldChar w:fldCharType="end"/>
      </w:r>
      <w:r w:rsidR="00DE3887" w:rsidRPr="00A93A6F">
        <w:rPr>
          <w:lang w:val="en-US"/>
        </w:rPr>
        <w:t xml:space="preserve">. SHG is particularly interesting </w:t>
      </w:r>
      <w:r w:rsidR="00EC1922" w:rsidRPr="00A93A6F">
        <w:rPr>
          <w:lang w:val="en-US"/>
        </w:rPr>
        <w:t xml:space="preserve">for imaging </w:t>
      </w:r>
      <w:r w:rsidR="00794DF9" w:rsidRPr="00A93A6F">
        <w:rPr>
          <w:lang w:val="en-US"/>
        </w:rPr>
        <w:t>dense</w:t>
      </w:r>
      <w:r w:rsidR="00DD4BAB" w:rsidRPr="00A93A6F">
        <w:rPr>
          <w:lang w:val="en-US"/>
        </w:rPr>
        <w:t>, thicker</w:t>
      </w:r>
      <w:r w:rsidR="00794DF9" w:rsidRPr="00A93A6F">
        <w:rPr>
          <w:lang w:val="en-US"/>
        </w:rPr>
        <w:t xml:space="preserve"> </w:t>
      </w:r>
      <w:r w:rsidR="00DD4BAB" w:rsidRPr="00A93A6F">
        <w:rPr>
          <w:lang w:val="en-US"/>
        </w:rPr>
        <w:t xml:space="preserve">biological </w:t>
      </w:r>
      <w:r w:rsidR="00794DF9" w:rsidRPr="00A93A6F">
        <w:rPr>
          <w:lang w:val="en-US"/>
        </w:rPr>
        <w:t xml:space="preserve">samples </w:t>
      </w:r>
      <w:r w:rsidRPr="00A93A6F">
        <w:rPr>
          <w:lang w:val="en-US"/>
        </w:rPr>
        <w:fldChar w:fldCharType="begin" w:fldLock="1"/>
      </w:r>
      <w:r w:rsidRPr="00A93A6F">
        <w:rPr>
          <w:lang w:val="en-US"/>
        </w:rPr>
        <w:instrText>ADDIN CSL_CITATION { "citationItems" : [ { "id" : "ITEM-1", "itemData" : { "DOI" : "10.1364/BOE.7.000677", "ISSN" : "2156-7085", "PMID" : "26977371", "abstract" : "Fungal keratitis is an infection of the cornea by fungal pathogens. Diagnosis methods based on optical microscopy could be beneficial over the conventional microbiology method by allowing rapid and non-invasive examination. Reflectance confocal microscopy (RCM) and two-photon second harmonic generation microscopy (TPSHGM) have been applied to pre-clinical or clinical studies of fungal keratitis. In this report, RCM and TPSHGM were characterized and compared in the imaging of a fungal keratitis rabbit model ex vivo. Fungal infection was induced by using two strains of fungi: aspergillus fumigatus and candida albicans. The infected corneas were imaged in fresh condition by both modalities sequentially and their images were analyzed. Both RCM and TPSHGM could detect both fungal strains within the cornea based on morphology: aspergillus fumigatus had distinctive filamentous structures, and candida albicans had round structures superficially and elongated structures in the corneal stroma. These imaging results were confirmed by histology. Comparison between RCM and TPSHGM showed several characteristics. Although RCM and TPSHGM images had good correlation each other, their images were slightly different due to difference in contrast mechanism. RCM had relatively low image contrast with the infected turbid corneas due to high background signal. TPSHGM visualized cells and collagen in the cornea clearly compared to RCM, but used higher laser power to compensate low autofluorescence. Since these two modalities provide complementary information, combination of RCM and TPSHGM would be useful for fungal keratitis detection by compensating their weaknesses each other.", "author" : [ { "dropping-particle" : "", "family" : "Lee", "given" : "Jun Ho", "non-dropping-particle" : "", "parse-names" : false, "suffix" : "" }, { "dropping-particle" : "", "family" : "Lee", "given" : "Seunghun", "non-dropping-particle" : "", "parse-names" : false, "suffix" : "" }, { "dropping-particle" : "", "family" : "Yoon", "given" : "Calvin J.", "non-dropping-particle" : "", "parse-names" : false, "suffix" : "" }, { "dropping-particle" : "", "family" : "Park", "given" : "Jin Hyoung", "non-dropping-particle" : "", "parse-names" : false, "suffix" : "" }, { "dropping-particle" : "", "family" : "Tchah", "given" : "Hungwon", "non-dropping-particle" : "", "parse-names" : false, "suffix" : "" }, { "dropping-particle" : "", "family" : "Kim", "given" : "Myoung Joon", "non-dropping-particle" : "", "parse-names" : false, "suffix" : "" }, { "dropping-particle" : "", "family" : "Kim", "given" : "Ki Hean", "non-dropping-particle" : "", "parse-names" : false, "suffix" : "" } ], "container-title" : "Biomedical Optics Express", "id" : "ITEM-1", "issue" : "2", "issued" : { "date-parts" : [ [ "2016", "2", "1" ] ] }, "page" : "677", "publisher" : "Optical Society of America", "title" : "Comparison of reflectance confocal microscopy and two-photon second harmonic generation microscopy in fungal keratitis rabbit model ex vivo", "type" : "article-journal", "volume" : "7" }, "uris" : [ "http://www.mendeley.com/documents/?uuid=ef34e87e-1138-39c3-986a-defaa3ae5306" ] } ], "mendeley" : { "formattedCitation" : "[14]", "plainTextFormattedCitation" : "[14]", "previouslyFormattedCitation" : "[14]" }, "properties" : { "noteIndex" : 2 }, "schema" : "https://github.com/citation-style-language/schema/raw/master/csl-citation.json" }</w:instrText>
      </w:r>
      <w:r w:rsidRPr="00A93A6F">
        <w:rPr>
          <w:lang w:val="en-US"/>
        </w:rPr>
        <w:fldChar w:fldCharType="separate"/>
      </w:r>
      <w:r w:rsidR="00ED1620" w:rsidRPr="00A93A6F">
        <w:rPr>
          <w:noProof/>
          <w:lang w:val="en-US"/>
        </w:rPr>
        <w:t>[14]</w:t>
      </w:r>
      <w:r w:rsidRPr="00A93A6F">
        <w:rPr>
          <w:lang w:val="en-US"/>
        </w:rPr>
        <w:fldChar w:fldCharType="end"/>
      </w:r>
      <w:r w:rsidR="00794DF9" w:rsidRPr="00A93A6F">
        <w:rPr>
          <w:lang w:val="en-US"/>
        </w:rPr>
        <w:t xml:space="preserve"> </w:t>
      </w:r>
      <w:r w:rsidR="00EC1922" w:rsidRPr="00A93A6F">
        <w:rPr>
          <w:lang w:val="en-US"/>
        </w:rPr>
        <w:t xml:space="preserve">since it is based on the scattering of near infrared (NIR) photons. It can moreover be </w:t>
      </w:r>
      <w:r w:rsidR="00DE3887" w:rsidRPr="00A93A6F">
        <w:rPr>
          <w:lang w:val="en-US"/>
        </w:rPr>
        <w:t xml:space="preserve">used </w:t>
      </w:r>
      <w:r w:rsidR="00EC1922" w:rsidRPr="00A93A6F">
        <w:rPr>
          <w:lang w:val="en-US"/>
        </w:rPr>
        <w:t>to extract</w:t>
      </w:r>
      <w:r w:rsidR="00DE3887" w:rsidRPr="00A93A6F">
        <w:rPr>
          <w:lang w:val="en-US"/>
        </w:rPr>
        <w:t xml:space="preserve"> orientational</w:t>
      </w:r>
      <w:r w:rsidR="00EC1922" w:rsidRPr="00A93A6F">
        <w:rPr>
          <w:lang w:val="en-US"/>
        </w:rPr>
        <w:t xml:space="preserve"> and symmetry</w:t>
      </w:r>
      <w:r w:rsidR="00DE3887" w:rsidRPr="00A93A6F">
        <w:rPr>
          <w:lang w:val="en-US"/>
        </w:rPr>
        <w:t xml:space="preserve"> parameters </w:t>
      </w:r>
      <w:r w:rsidRPr="00A93A6F">
        <w:rPr>
          <w:lang w:val="en-US"/>
        </w:rPr>
        <w:fldChar w:fldCharType="begin" w:fldLock="1"/>
      </w:r>
      <w:r w:rsidRPr="00A93A6F">
        <w:rPr>
          <w:lang w:val="en-US"/>
        </w:rPr>
        <w:instrText>ADDIN CSL_CITATION { "citationItems" : [ { "id" : "ITEM-1", "itemData" : { "DOI" : "10.1117/12.2613415", "abstract" : "Polarization-resolved second-harmonic-generation (PR-SHG) microscopy simultaneously visualizes the orientation angle and degree of crystallinity in collagen fibers in tissues. In this paper, we developed fast PR-SHG microscopy based on pixel-by-pixel rapid polarization switching applicable for in situ measurements of the human skin. The demonstrated results indicated that our system would be a powerful tool for optical assessment of dermal collagen fiber in cosmetics research.", "author" : [ { "dropping-particle" : "", "family" : "Hase", "given" : "Eiji", "non-dropping-particle" : "", "parse-names" : false, "suffix" : "" }, { "dropping-particle" : "", "family" : "Yasui", "given" : "Takeshi", "non-dropping-particle" : "", "parse-names" : false, "suffix" : "" } ], "container-title" : "https://doi.org/10.1117/12.2613415", "id" : "ITEM-1", "issued" : { "date-parts" : [ [ "2022", "3", "7" ] ] }, "page" : "PC1193408", "publisher" : "SPIE", "title" : "Orientation analysis of collagen fibers in skin by using polarization-resolved second-harmonic generation microscopy", "type" : "article-journal", "volume" : "PC11934" }, "uris" : [ "http://www.mendeley.com/documents/?uuid=d348008d-d503-34ba-9478-0cce994c0726" ] } ], "mendeley" : { "formattedCitation" : "[15]", "plainTextFormattedCitation" : "[15]", "previouslyFormattedCitation" : "[15]" }, "properties" : { "noteIndex" : 2 }, "schema" : "https://github.com/citation-style-language/schema/raw/master/csl-citation.json" }</w:instrText>
      </w:r>
      <w:r w:rsidRPr="00A93A6F">
        <w:rPr>
          <w:lang w:val="en-US"/>
        </w:rPr>
        <w:fldChar w:fldCharType="separate"/>
      </w:r>
      <w:r w:rsidR="00ED1620" w:rsidRPr="00A93A6F">
        <w:rPr>
          <w:noProof/>
          <w:lang w:val="en-US"/>
        </w:rPr>
        <w:t>[15]</w:t>
      </w:r>
      <w:r w:rsidRPr="00A93A6F">
        <w:rPr>
          <w:lang w:val="en-US"/>
        </w:rPr>
        <w:fldChar w:fldCharType="end"/>
      </w:r>
      <w:r w:rsidR="00DE3887" w:rsidRPr="00A93A6F">
        <w:rPr>
          <w:lang w:val="en-US"/>
        </w:rPr>
        <w:t>.</w:t>
      </w:r>
    </w:p>
    <w:p w14:paraId="5341F3C3" w14:textId="4D41E6AB" w:rsidR="00437BE5" w:rsidRPr="00A93A6F" w:rsidRDefault="00437BE5" w:rsidP="00437BE5">
      <w:pPr>
        <w:spacing w:line="360" w:lineRule="auto"/>
        <w:jc w:val="both"/>
        <w:rPr>
          <w:lang w:val="en-US"/>
        </w:rPr>
      </w:pPr>
      <w:r w:rsidRPr="00A93A6F">
        <w:rPr>
          <w:lang w:val="en-US"/>
        </w:rPr>
        <w:t xml:space="preserve">During embryogenesis, collagen fibrillar matrices form 3D aligned (anisotropic) structures in certain specialized tissues, including cardiac tissue </w:t>
      </w:r>
      <w:r w:rsidRPr="00A93A6F">
        <w:rPr>
          <w:lang w:val="en-US"/>
        </w:rPr>
        <w:fldChar w:fldCharType="begin" w:fldLock="1"/>
      </w:r>
      <w:r w:rsidR="00ED1620" w:rsidRPr="00A93A6F">
        <w:rPr>
          <w:lang w:val="en-US"/>
        </w:rPr>
        <w:instrText>ADDIN CSL_CITATION { "citationItems" : [ { "id" : "ITEM-1", "itemData" : { "DOI" : "10.1088/1748-6041/10/3/034006", "ISSN" : "1748605X", "PMID" : "26065674", "abstract" : "The heart is one of the most vital organs in the human body, which actively pumps the blood through the vascular network to supply nutrients to as well as to extract wastes from all other organs, maintaining the homeostasis of the biological system. Over the past few decades, tremendous efforts have been exerted in engineering functional cardiac tissues for heart regeneration via biomimetic approaches. More recently, progress has been made toward the transformation of knowledge obtained from cardiac tissue engineering to building physiologically relevant microfluidic human heart models (i.e. heart-on-chips) for applications in drug discovery. The advancement in stem cell technologies further provides the opportunity to create personalized in vitro models from cells derived from patients. Here, starting from heart biology, we review recent advances in engineering cardiac tissues and heart-on-a-chip platforms for their use in heart regeneration and cardiotoxic/cardiotherapeutic drug screening, and then briefly conclude with characterization techniques and personalization potential of the cardiac models.", "author" : [ { "dropping-particle" : "", "family" : "Zhang", "given" : "Yu Shrike", "non-dropping-particle" : "", "parse-names" : false, "suffix" : "" }, { "dropping-particle" : "", "family" : "Aleman", "given" : "Julio", "non-dropping-particle" : "", "parse-names" : false, "suffix" : "" }, { "dropping-particle" : "", "family" : "Arneri", "given" : "Andrea", "non-dropping-particle" : "", "parse-names" : false, "suffix" : "" }, { "dropping-particle" : "", "family" : "Bersini", "given" : "Simone", "non-dropping-particle" : "", "parse-names" : false, "suffix" : "" }, { "dropping-particle" : "", "family" : "Piraino", "given" : "Francesco", "non-dropping-particle" : "", "parse-names" : false, "suffix" : "" }, { "dropping-particle" : "", "family" : "Shin", "given" : "Su Ryon", "non-dropping-particle" : "", "parse-names" : false, "suffix" : "" }, { "dropping-particle" : "", "family" : "Dokmeci", "given" : "Mehmet Remzi", "non-dropping-particle" : "", "parse-names" : false, "suffix" : "" }, { "dropping-particle" : "", "family" : "Khademhosseini", "given" : "Ali", "non-dropping-particle" : "", "parse-names" : false, "suffix" : "" } ], "container-title" : "Biomedical Materials (Bristol)", "id" : "ITEM-1", "issue" : "3", "issued" : { "date-parts" : [ [ "2015", "6", "1" ] ] }, "publisher" : "Biomed Mater", "title" : "From cardiac tissue engineering to heart-on-a-chip: Beating challenges", "type" : "article", "volume" : "10" }, "uris" : [ "http://www.mendeley.com/documents/?uuid=e871d622-e60d-3453-8d03-1abd57c90e4b" ] } ], "mendeley" : { "formattedCitation" : "[16]", "plainTextFormattedCitation" : "[16]", "previouslyFormattedCitation" : "[16]" }, "properties" : { "noteIndex" : 0 }, "schema" : "https://github.com/citation-style-language/schema/raw/master/csl-citation.json" }</w:instrText>
      </w:r>
      <w:r w:rsidRPr="00A93A6F">
        <w:rPr>
          <w:lang w:val="en-US"/>
        </w:rPr>
        <w:fldChar w:fldCharType="separate"/>
      </w:r>
      <w:r w:rsidR="00ED1620" w:rsidRPr="00A93A6F">
        <w:rPr>
          <w:noProof/>
          <w:lang w:val="en-US"/>
        </w:rPr>
        <w:t>[16]</w:t>
      </w:r>
      <w:r w:rsidRPr="00A93A6F">
        <w:rPr>
          <w:lang w:val="en-US"/>
        </w:rPr>
        <w:fldChar w:fldCharType="end"/>
      </w:r>
      <w:r w:rsidRPr="00A93A6F">
        <w:rPr>
          <w:lang w:val="en-US"/>
        </w:rPr>
        <w:t xml:space="preserve">, muscle </w:t>
      </w:r>
      <w:r w:rsidRPr="00A93A6F">
        <w:rPr>
          <w:lang w:val="en-US"/>
        </w:rPr>
        <w:fldChar w:fldCharType="begin" w:fldLock="1"/>
      </w:r>
      <w:r w:rsidR="00ED1620" w:rsidRPr="00A93A6F">
        <w:rPr>
          <w:lang w:val="en-US"/>
        </w:rPr>
        <w:instrText>ADDIN CSL_CITATION { "citationItems" : [ { "id" : "ITEM-1", "itemData" : { "DOI" : "10.1002/mus.22094", "ISSN" : "0148639X", "PMID" : "21949456", "abstract" : "ABSTRACT: The skeletal muscle extracellular matrix (ECM) plays an important role in muscle fiber force transmission, maintenance, and repair. In both injured and diseased states, ECM adapts dramatically, a property that has clinical manifestations and alters muscle function. Here we review the structure, composition, and mechanical properties of skeletal muscle ECM; describe the cells that contribute to the maintenance of the ECM; and, finally, overview changes that occur with pathology. New scanning electron micrographs of ECM structure are also presented with hypotheses about ECM structure-function relationships. Detailed structure-function relationships of the ECM have yet to be defined and, as a result, we propose areas for future study. \u00a9 2011 Wiley Periodicals, Inc.", "author" : [ { "dropping-particle" : "", "family" : "Gillies", "given" : "Allison R.", "non-dropping-particle" : "", "parse-names" : false, "suffix" : "" }, { "dropping-particle" : "", "family" : "Lieber", "given" : "Richard L.", "non-dropping-particle" : "", "parse-names" : false, "suffix" : "" } ], "container-title" : "Muscle and Nerve", "id" : "ITEM-1", "issue" : "3", "issued" : { "date-parts" : [ [ "2011", "9" ] ] }, "page" : "318-331", "publisher" : "Muscle Nerve", "title" : "Structure and function of the skeletal muscle extracellular matrix", "type" : "article", "volume" : "44" }, "uris" : [ "http://www.mendeley.com/documents/?uuid=705d7908-43a2-34e9-acc7-8411fe56e9b8" ] } ], "mendeley" : { "formattedCitation" : "[17]", "plainTextFormattedCitation" : "[17]", "previouslyFormattedCitation" : "[17]" }, "properties" : { "noteIndex" : 0 }, "schema" : "https://github.com/citation-style-language/schema/raw/master/csl-citation.json" }</w:instrText>
      </w:r>
      <w:r w:rsidRPr="00A93A6F">
        <w:rPr>
          <w:lang w:val="en-US"/>
        </w:rPr>
        <w:fldChar w:fldCharType="separate"/>
      </w:r>
      <w:r w:rsidR="00ED1620" w:rsidRPr="00A93A6F">
        <w:rPr>
          <w:noProof/>
          <w:lang w:val="en-US"/>
        </w:rPr>
        <w:t>[17]</w:t>
      </w:r>
      <w:r w:rsidRPr="00A93A6F">
        <w:rPr>
          <w:lang w:val="en-US"/>
        </w:rPr>
        <w:fldChar w:fldCharType="end"/>
      </w:r>
      <w:r w:rsidRPr="00A93A6F">
        <w:rPr>
          <w:lang w:val="en-US"/>
        </w:rPr>
        <w:t xml:space="preserve">, cartilage </w:t>
      </w:r>
      <w:r w:rsidRPr="00A93A6F">
        <w:rPr>
          <w:lang w:val="en-US"/>
        </w:rPr>
        <w:fldChar w:fldCharType="begin" w:fldLock="1"/>
      </w:r>
      <w:r w:rsidR="00ED1620" w:rsidRPr="00A93A6F">
        <w:rPr>
          <w:lang w:val="en-US"/>
        </w:rPr>
        <w:instrText>ADDIN CSL_CITATION { "citationItems" : [ { "id" : "ITEM-1", "itemData" : { "DOI" : "10.5772/55917", "ISBN" : "978-953-51-1108-5", "abstract" : "Abstract Long-haul travel does not constitute an obstacle for tourists to travel and is fast gaining the attention of tourists in new and unique experiences. This study was conducted to identify the long-haul travel motivation by international tourists to Penang. A total of 400 respondents participated in this survey, conducted around the tourist attractions in Penang, using cluster random sampling. However, only 370 questionnaires were only used for this research. Data were analysed using SPSS software 22 version. The findings, \u2018knowledge and novelty seeking\u2019 were the main push factors that drove long-haul travel by international tourists to Penang. Meanwhile, the main pull factor that attracts long- haul travel by international tourists to Penang was its \u2018culture and history\u2019. Additionally, there were partly direct and significant relationships between socio-demographic, trip characteristics and travel motivation (push factors and pull factors). Overall, this study identified the long-haul travel motivations by international tourists to Penang based on socio-demographic, trip characteristics and travel motivation and has indirectly helped in understanding the long-haul travel market particularly for Penang and Southeast Asia. This research also suggested for an effective marketing and promotion strategy in pro- viding useful information that is the key to attract international tourists to travel long distances. Keywords:", "author" : [ { "dropping-particle" : "", "family" : "Y.", "given" : "Zaira", "non-dropping-particle" : "", "parse-names" : false, "suffix" : "" }, { "dropping-particle" : "", "family" : "Garciadiego-Czares", "given" : "David", "non-dropping-particle" : "", "parse-names" : false, "suffix" : "" }, { "dropping-particle" : "", "family" : "Parra- Cid", "given" : "Carmen", "non-dropping-particle" : "", "parse-names" : false, "suffix" : "" }, { "dropping-particle" : "", "family" : "Aguilar-Gaytn", "given" : "Roco", "non-dropping-particle" : "", "parse-names" : false, "suffix" : "" }, { "dropping-particle" : "", "family" : "Velasquillo", "given" : "Cristina", "non-dropping-particle" : "", "parse-names" : false, "suffix" : "" }, { "dropping-particle" : "", "family" : "Ibarra", "given" : "Clemente", "non-dropping-particle" : "", "parse-names" : false, "suffix" : "" }, { "dropping-particle" : "", "family" : "Castro Carmo", "given" : "Javier S.", "non-dropping-particle" : "", "parse-names" : false, "suffix" : "" } ], "container-title" : "Regenerative Medicine and Tissue Engineering", "id" : "ITEM-1", "issued" : { "date-parts" : [ [ "2013", "5", "22" ] ] }, "publisher" : "IntechOpen", "title" : "Cartilage Tissue Engineering: The Role of Extracellular Matrix (ECM) and Novel Strategies", "type" : "chapter" }, "uris" : [ "http://www.mendeley.com/documents/?uuid=56830f3d-617a-326e-907b-ae4d59cfbc58" ] } ], "mendeley" : { "formattedCitation" : "[18]", "plainTextFormattedCitation" : "[18]", "previouslyFormattedCitation" : "[18]" }, "properties" : { "noteIndex" : 0 }, "schema" : "https://github.com/citation-style-language/schema/raw/master/csl-citation.json" }</w:instrText>
      </w:r>
      <w:r w:rsidRPr="00A93A6F">
        <w:rPr>
          <w:lang w:val="en-US"/>
        </w:rPr>
        <w:fldChar w:fldCharType="separate"/>
      </w:r>
      <w:r w:rsidR="00ED1620" w:rsidRPr="00A93A6F">
        <w:rPr>
          <w:noProof/>
          <w:lang w:val="en-US"/>
        </w:rPr>
        <w:t>[18]</w:t>
      </w:r>
      <w:r w:rsidRPr="00A93A6F">
        <w:rPr>
          <w:lang w:val="en-US"/>
        </w:rPr>
        <w:fldChar w:fldCharType="end"/>
      </w:r>
      <w:r w:rsidRPr="00A93A6F">
        <w:rPr>
          <w:lang w:val="en-US"/>
        </w:rPr>
        <w:t xml:space="preserve"> and the dermis </w:t>
      </w:r>
      <w:r w:rsidRPr="00A93A6F">
        <w:rPr>
          <w:lang w:val="en-US"/>
        </w:rPr>
        <w:fldChar w:fldCharType="begin" w:fldLock="1"/>
      </w:r>
      <w:r w:rsidR="00ED1620" w:rsidRPr="00A93A6F">
        <w:rPr>
          <w:lang w:val="en-US"/>
        </w:rPr>
        <w:instrText>ADDIN CSL_CITATION { "citationItems" : [ { "id" : "ITEM-1", "itemData" : { "DOI" : "10.1371/journal.pone.0054724", "ISSN" : "19326203", "PMID" : "23349957", "abstract" : "Background: Birefringence can reveal much of the morphology, molecular order, heterogeneity of fiber orientation, and nonlinear optical properties of biopolymers such as collagen. However, the detailed characterization of skin collagen fibers using optical anisotropy methods remains elusive. A clear understanding of collagen fiber organization in skin tissues may be important in the interpretation of their structural-functional relationships under normal and pathological conditions. In this study, fiber orientation in collagen bundles (CBs) and their supramolecular organization were examined in rat skin using polarization microscopy and image analysis. Methodology/Principal Findings: Image variations with rotation of the microscope stage and selection of the in-depth focus plane were investigated in unstained sections of varying thicknesses from rat skin fragments. Total birefringence (image analysis) and form and intrinsic birefringence (S\u00e9narmont's method) were estimated. Based on the birefringent images, CBs were found to contain intercrossing points with a twisted helical distribution of collagen fibers (chiral elements) and frequently presented circular structures. Collagen fibers were observed to extend from the surface level to deeper planes, creating a 3D-network of oriented intertwined CBs. At least three levels of birefringent brilliance intensity were revealed by image analysis, indicating a heterogeneous spatial organization of the CBs. Slight differences in optical retardations were found for CBs immersed in some of the fluids used in a comparison of 170- and 240-day old rats. Conclusion/Significance: Polarization microscopy studies provide detailed high-quality structural information on rat skin CBs. A 3D-network structure based on image analysis and birefringence compensation for collagen fibers is suggested for CBs. Form and intrinsic birefringence evaluation can reveal differences in the rat skin associated with age at the levels of collagen fiber crystallinity and macromolecular organization. These findings may inspire future studies of the feedback mechanisms by which spatial, bioelectrical and biomechanical information is transmitted from CBs to skin cells. \u00a9 2013 Ribeiro et al.", "author" : [ { "dropping-particle" : "", "family" : "Ribeiro", "given" : "Juliana Fulan", "non-dropping-particle" : "", "parse-names" : false, "suffix" : "" }, { "dropping-particle" : "", "family" : "Anjos", "given" : "Eli Heber Martins", "non-dropping-particle" : "dos", "parse-names" : false, "suffix" : "" }, { "dropping-particle" : "", "family" : "Mello", "given" : "Maria Luiza S.", "non-dropping-particle" : "", "parse-names" : false, "suffix" : "" }, { "dropping-particle" : "", "family" : "Campos Vidal", "given" : "Benedicto", "non-dropping-particle" : "de", "parse-names" : false, "suffix" : "" } ], "container-title" : "PLoS ONE", "id" : "ITEM-1", "issue" : "1", "issued" : { "date-parts" : [ [ "2013", "1", "18" ] ] }, "publisher" : "PLoS One", "title" : "Skin Collagen Fiber Molecular Order: A Pattern of Distributional Fiber Orientation as Assessed by Optical Anisotropy and Image Analysis", "type" : "article-journal", "volume" : "8" }, "uris" : [ "http://www.mendeley.com/documents/?uuid=9a4d4e5a-1ad3-352d-9225-922dc2aa6d32" ] } ], "mendeley" : { "formattedCitation" : "[19]", "plainTextFormattedCitation" : "[19]", "previouslyFormattedCitation" : "[19]" }, "properties" : { "noteIndex" : 0 }, "schema" : "https://github.com/citation-style-language/schema/raw/master/csl-citation.json" }</w:instrText>
      </w:r>
      <w:r w:rsidRPr="00A93A6F">
        <w:rPr>
          <w:lang w:val="en-US"/>
        </w:rPr>
        <w:fldChar w:fldCharType="separate"/>
      </w:r>
      <w:r w:rsidR="00ED1620" w:rsidRPr="00A93A6F">
        <w:rPr>
          <w:noProof/>
          <w:lang w:val="en-US"/>
        </w:rPr>
        <w:t>[19]</w:t>
      </w:r>
      <w:r w:rsidRPr="00A93A6F">
        <w:rPr>
          <w:lang w:val="en-US"/>
        </w:rPr>
        <w:fldChar w:fldCharType="end"/>
      </w:r>
      <w:r w:rsidRPr="00A93A6F">
        <w:rPr>
          <w:lang w:val="en-US"/>
        </w:rPr>
        <w:t xml:space="preserve">. Over the last decade, reproducing this </w:t>
      </w:r>
      <w:r w:rsidRPr="00A93A6F">
        <w:rPr>
          <w:i/>
          <w:iCs/>
          <w:lang w:val="en-US"/>
        </w:rPr>
        <w:t>in vivo</w:t>
      </w:r>
      <w:r w:rsidRPr="00A93A6F">
        <w:rPr>
          <w:lang w:val="en-US"/>
        </w:rPr>
        <w:t xml:space="preserve"> alignment of the 3D fibrillar matrix </w:t>
      </w:r>
      <w:r w:rsidRPr="00A93A6F">
        <w:rPr>
          <w:i/>
          <w:iCs/>
          <w:lang w:val="en-US"/>
        </w:rPr>
        <w:t xml:space="preserve">in vitro </w:t>
      </w:r>
      <w:r w:rsidRPr="00A93A6F">
        <w:rPr>
          <w:lang w:val="en-US"/>
        </w:rPr>
        <w:t xml:space="preserve">was proven to be important </w:t>
      </w:r>
      <w:r w:rsidR="00FD1246" w:rsidRPr="00A93A6F">
        <w:rPr>
          <w:lang w:val="en-US"/>
        </w:rPr>
        <w:t xml:space="preserve">to </w:t>
      </w:r>
      <w:r w:rsidRPr="00A93A6F">
        <w:rPr>
          <w:lang w:val="en-US"/>
        </w:rPr>
        <w:t xml:space="preserve">obtain a higher transferability between </w:t>
      </w:r>
      <w:r w:rsidRPr="00A93A6F">
        <w:rPr>
          <w:i/>
          <w:iCs/>
          <w:lang w:val="en-US"/>
        </w:rPr>
        <w:t>in vivo</w:t>
      </w:r>
      <w:r w:rsidRPr="00A93A6F">
        <w:rPr>
          <w:lang w:val="en-US"/>
        </w:rPr>
        <w:t xml:space="preserve"> and </w:t>
      </w:r>
      <w:r w:rsidRPr="00A93A6F">
        <w:rPr>
          <w:i/>
          <w:iCs/>
          <w:lang w:val="en-US"/>
        </w:rPr>
        <w:t>in vitro</w:t>
      </w:r>
      <w:r w:rsidRPr="00A93A6F">
        <w:rPr>
          <w:lang w:val="en-US"/>
        </w:rPr>
        <w:t xml:space="preserve"> cellular phenotypes </w:t>
      </w:r>
      <w:r w:rsidRPr="00A93A6F">
        <w:rPr>
          <w:lang w:val="en-US"/>
        </w:rPr>
        <w:fldChar w:fldCharType="begin" w:fldLock="1"/>
      </w:r>
      <w:r w:rsidR="00ED1620" w:rsidRPr="00A93A6F">
        <w:rPr>
          <w:lang w:val="en-US"/>
        </w:rPr>
        <w:instrText>ADDIN CSL_CITATION { "citationItems" : [ { "id" : "ITEM-1", "itemData" : { "DOI" : "10.1016/j.matbio.2017.06.002", "ISSN" : "15691802", "PMID" : "28636876", "abstract" : "Tendinopathy is a widespread and unresolved clinical challenge, in which associated pain and hampered mobility present a major cause for work-related disability. Tendinopathy associates with a change from a healthy tissue with aligned extracellular matrix (ECM) and highly polarized cells that are connected head-to-tail, towards a diseased tissue with a disorganized ECM and randomly distributed cells, scar-like features that are commonly attributed to poor innate regenerative capacity of the tissue. A fundamental clinical dilemma with this scarring process is whether treatment strategies should focus on healing the affected (disorganized) tissue or strengthen the remaining healthy (anisotropic) tissue. The question was thus asked whether the intrinsic remodeling capacity of tendon-derived cells depends on the organization of the 3D extracellular matrix (isotropic vs anisotropic). Progress in this field is hampered by the lack of suitable in vitro tissue platforms. We aimed at filling this critical gap by creating and exploiting a next generation tissue platform that mimics aspects of the tendon scarring process; cellular response to a gradient in tissue organization from isotropic (scarred/non-aligned) to highly anisotropic (unscarred/aligned) was studied, as was a transient change from isotropic towards highly anisotropic. Strikingly, cells residing in an \u2018unscarred\u2019 anisotropic tissue indicated superior remodeling capacity (increased gene expression levels of collagen, matrix metalloproteinases MMPs, tissue inhibitors of MMPs), when compared to their 'scarred\u2019 isotropic counterparts. A numerical model then supported the hypothesis that cellular remodeling capacity may correlate to cellular alignment strength. This in turn may have improved cellular communication, and could thus relate to the more pronounced connexin43 gap junctions observed in anisotropic tissues. In conclusion, increased tissue anisotropy was observed to enhance the cellular potential for functional remodeling of the matrix. This may explain the poor regenerative capacity of tenocytes in chronic tendinopathy, where the pathological process has resulted in ECM disorganization. Additionally, it lends support to treatment strategies that focus on strengthening the remaining healthy tissue, rather than regenerating scarred tissue.", "author" : [ { "dropping-particle" : "", "family" : "Foolen", "given" : "Jasper", "non-dropping-particle" : "", "parse-names" : false, "suffix" : "" }, { "dropping-particle" : "", "family" : "Wunderli", "given" : "Stefania L.", "non-dropping-particle" : "", "parse-names" : false, "suffix" : "" }, { "dropping-particle" : "", "family" : "Loerakker", "given" : "Sandra", "non-dropping-particle" : "", "parse-names" : false, "suffix" : "" }, { "dropping-particle" : "", "family" : "Snedeker", "given" : "Jess G.", "non-dropping-particle" : "", "parse-names" : false, "suffix" : "" } ], "container-title" : "Matrix Biology", "id" : "ITEM-1", "issued" : { "date-parts" : [ [ "2018", "1", "1" ] ] }, "page" : "14-29", "publisher" : "Elsevier B.V.", "title" : "Tissue alignment enhances remodeling potential of tendon-derived cells - Lessons from a novel microtissue model of tendon scarring", "type" : "article-journal", "volume" : "65" }, "uris" : [ "http://www.mendeley.com/documents/?uuid=036cd68c-eee5-3b72-8010-7e971f79976c" ] }, { "id" : "ITEM-2", "itemData" : { "DOI" : "10.1038/nprot.2006.203", "ISSN" : "17542189", "PMID" : "17406425", "abstract" : "We describe here a new in vitro protocol for structuring cardiac cell cultures to mimic important aspects of the in vivo ventricular myocardial phenotype by controlling the location and mechanical environment of cultured cells. Microlithography is used to engineer microstructured silicon metal wafers. Those are used to fabricate either microgrooved silicone membranes or silicone molds for microfluidic application of extracellular matrix proteins onto elastic membranes (involving flow control at micrometer resolution). The physically or microfluidically structured membranes serve as a cell culture growth substrate that supports cell alignment and allows the application of stretch. The latter is achieved with a stretching device that can deliver isotropic or anisotropic stretch. Neonatal ventricular cardiomyocytes, grown on these micropatterned membranes, develop an in vivo-like morphology with regular sarcomeric patterns. The entire process from fabrication of the micropatterned silicon metal wafers to casting of silicone molds, microfluidic patterning and cell isolation and seeding takes approximately 7 days.", "author" : [ { "dropping-particle" : "", "family" : "Camelliti", "given" : "Patrizia", "non-dropping-particle" : "", "parse-names" : false, "suffix" : "" }, { "dropping-particle" : "", "family" : "Gallagher", "given" : "John O.", "non-dropping-particle" : "", "parse-names" : false, "suffix" : "" }, { "dropping-particle" : "", "family" : "Kohl", "given" : "Peter", "non-dropping-particle" : "", "parse-names" : false, "suffix" : "" }, { "dropping-particle" : "", "family" : "McCulloch", "given" : "Andrew D.", "non-dropping-particle" : "", "parse-names" : false, "suffix" : "" } ], "container-title" : "Nature Protocols", "id" : "ITEM-2", "issue" : "3", "issued" : { "date-parts" : [ [ "2006", "8" ] ] }, "page" : "1379-1391", "title" : "Micropatterned cell cultures on elastic membranes as an in vitro model of myocardium", "type" : "article-journal", "volume" : "1" }, "uris" : [ "http://www.mendeley.com/documents/?uuid=18cfe363-80c1-3561-b210-0564527c900a" ] }, { "id" : "ITEM-3", "itemData" : { "DOI" : "10.1016/j.biomaterials.2015.07.008", "ISSN" : "18785905", "PMID" : "26210178", "abstract" : "Patterning of neuronal outgrowth in vitro is important in tissue engineering as well as for the development of neuronal interfaces with desirable characteristics. To date, this has been achieved with the aid of micro- and nanofabrication techniques giving rise to various anisotropic topographies, either in the form of continuous or discontinuous structures. In this study we propose a currently unexplored geometry of a 3D culture substrate for neuronal cell growth comprising discontinuous subcellular microstructures with anisotropic geometrical cross-section. Specifically, using laser precision 3D micro/nano fabrication techniques, silicon substrates comprising arrays of parallel oriented elliptical microcones (MCs) were fabricated to investigate whether a discontinuous geometry comprising anisotropic features at the subcellular level could influence the alignment of peripheral nervous system cell populations. It was shown that both Schwann cells and axons of sympathetic neurons were parallel oriented onto the MCs of elliptical shape, while they exhibited a random orientation onto the MCs of arbitrary shape. Notably, this topography-induced guidance effect was also observed in more complex cell culture systems, such as the organotypic culture whole dorsal root ganglia (DRG) explants. Our results suggest that a discontinuous topographical pattern could promote Schwann cell and axonal alignment, provided that it hosts anisotropic geometrical features, even though the sizes of those range at the subcellular lengthscale. The laser-patterned arrays of MCs presented here could potentially be a useful platform for patterning neurons into artificial networks, allowing the study of neuronal cells interactions under 3D ex-vivo conditions.", "author" : [ { "dropping-particle" : "", "family" : "Simitzi", "given" : "C.", "non-dropping-particle" : "", "parse-names" : false, "suffix" : "" }, { "dropping-particle" : "", "family" : "Efstathopoulos", "given" : "P.", "non-dropping-particle" : "", "parse-names" : false, "suffix" : "" }, { "dropping-particle" : "", "family" : "Kourgiantaki", "given" : "A.", "non-dropping-particle" : "", "parse-names" : false, "suffix" : "" }, { "dropping-particle" : "", "family" : "Ranella", "given" : "A.", "non-dropping-particle" : "", "parse-names" : false, "suffix" : "" }, { "dropping-particle" : "", "family" : "Charalampopoulos", "given" : "I.", "non-dropping-particle" : "", "parse-names" : false, "suffix" : "" }, { "dropping-particle" : "", "family" : "Fotakis", "given" : "C.", "non-dropping-particle" : "", "parse-names" : false, "suffix" : "" }, { "dropping-particle" : "", "family" : "Athanassakis", "given" : "I.", "non-dropping-particle" : "", "parse-names" : false, "suffix" : "" }, { "dropping-particle" : "", "family" : "Stratakis", "given" : "E.", "non-dropping-particle" : "", "parse-names" : false, "suffix" : "" }, { "dropping-particle" : "", "family" : "Gravanis", "given" : "A.", "non-dropping-particle" : "", "parse-names" : false, "suffix" : "" } ], "container-title" : "Biomaterials", "id" : "ITEM-3", "issued" : { "date-parts" : [ [ "2015", "10", "1" ] ] }, "page" : "115-128", "publisher" : "Elsevier Ltd", "title" : "Laser fabricated discontinuous anisotropic microconical substrates as a new model scaffold to control the directionality of neuronal network outgrowth", "type" : "article-journal", "volume" : "67" }, "uris" : [ "http://www.mendeley.com/documents/?uuid=9d294ee7-7ebb-35a5-9edf-7cd3f54ff724" ] }, { "id" : "ITEM-4", "itemData" : { "DOI" : "10.1002/jbm.a.36238", "ISSN" : "15524965", "PMID" : "28921822", "abstract" : "Bone tissue has anisotropic microstructure based on collagen/biological apatite orientation, which plays essential roles in the mechanical and biological functions of bone. However, obtaining an appropriate anisotropic microstructure during the bone regeneration process remains a great challenging. A powerful strategy for the control of both differentiation and structural development of newly-formed bone is required in bone tissue engineering, in order to realize functional bone tissue regeneration. In this study, we developed a novel anisotropic culture model by combining human induced pluripotent stem cells (hiPSCs) and artificially-controlled oriented collagen scaffold. The oriented collagen scaffold allowed hiPSCs-derived osteoblast alignment and further construction of anisotropic bone matrix which mimics the bone tissue microstructure. To the best of our knowledge, this is the first report showing the construction of bone mimetic anisotropic bone matrix microstructure from hiPSCs. Moreover, we demonstrated for the first time that the hiPSCs-derived osteoblasts possess a high level of intact functionality to regulate cell alignment. \u00a9 2017 The Authors Journal of Biomedical Materials Research Part A Published by Wiley Periodicals, Inc. J Biomed Mater Res Part A: 106A: 360\u2013369, 2018.", "author" : [ { "dropping-particle" : "", "family" : "Ozasa", "given" : "Ryosuke", "non-dropping-particle" : "", "parse-names" : false, "suffix" : "" }, { "dropping-particle" : "", "family" : "Matsugaki", "given" : "Aira", "non-dropping-particle" : "", "parse-names" : false, "suffix" : "" }, { "dropping-particle" : "", "family" : "Isobe", "given" : "Yoshihiro", "non-dropping-particle" : "", "parse-names" : false, "suffix" : "" }, { "dropping-particle" : "", "family" : "Saku", "given" : "Taro", "non-dropping-particle" : "", "parse-names" : false, "suffix" : "" }, { "dropping-particle" : "", "family" : "Yun", "given" : "Hui Suk", "non-dropping-particle" : "", "parse-names" : false, "suffix" : "" }, { "dropping-particle" : "", "family" : "Nakano", "given" : "Takayoshi", "non-dropping-particle" : "", "parse-names" : false, "suffix" : "" } ], "container-title" : "Journal of Biomedical Materials Research - Part A", "id" : "ITEM-4", "issue" : "2", "issued" : { "date-parts" : [ [ "2018", "2", "1" ] ] }, "page" : "360-369", "publisher" : "John Wiley and Sons Inc", "title" : "Construction of human induced pluripotent stem cell-derived oriented bone matrix microstructure by using in vitro engineered anisotropic culture model", "type" : "article-journal", "volume" : "106" }, "uris" : [ "http://www.mendeley.com/documents/?uuid=91480bbd-d8a1-31fa-afd3-0a094e2bb960" ] } ], "mendeley" : { "formattedCitation" : "[20\u201323]", "plainTextFormattedCitation" : "[20\u201323]", "previouslyFormattedCitation" : "[20\u201323]" }, "properties" : { "noteIndex" : 0 }, "schema" : "https://github.com/citation-style-language/schema/raw/master/csl-citation.json" }</w:instrText>
      </w:r>
      <w:r w:rsidRPr="00A93A6F">
        <w:rPr>
          <w:lang w:val="en-US"/>
        </w:rPr>
        <w:fldChar w:fldCharType="separate"/>
      </w:r>
      <w:r w:rsidR="00ED1620" w:rsidRPr="00A93A6F">
        <w:rPr>
          <w:noProof/>
          <w:lang w:val="en-US"/>
        </w:rPr>
        <w:t>[20–23]</w:t>
      </w:r>
      <w:r w:rsidRPr="00A93A6F">
        <w:rPr>
          <w:lang w:val="en-US"/>
        </w:rPr>
        <w:fldChar w:fldCharType="end"/>
      </w:r>
      <w:r w:rsidRPr="00A93A6F">
        <w:rPr>
          <w:lang w:val="en-US"/>
        </w:rPr>
        <w:t xml:space="preserve">, which is crucial for the development of new therapeutic strategies </w:t>
      </w:r>
      <w:r w:rsidRPr="00A93A6F">
        <w:rPr>
          <w:lang w:val="en-US"/>
        </w:rPr>
        <w:fldChar w:fldCharType="begin" w:fldLock="1"/>
      </w:r>
      <w:r w:rsidR="00ED1620" w:rsidRPr="00A93A6F">
        <w:rPr>
          <w:lang w:val="en-US"/>
        </w:rPr>
        <w:instrText>ADDIN CSL_CITATION { "citationItems" : [ { "id" : "ITEM-1", "itemData" : { "DOI" : "10.1038/s41598-018-31138-6", "ISSN" : "20452322", "PMID" : "30158688", "abstract" : "While much progress has been made in the war on cancer, highly invasive cancers such as pancreatic cancer remain difficult to treat and anti-cancer clinical trial success rates remain low. One shortcoming of the drug development process that underlies these problems is the lack of predictive, pathophysiologically relevant preclinical models of invasive tumor phenotypes. While present-day 3D spheroid invasion models more accurately recreate tumor invasion than traditional 2D models, their shortcomings include poor reproducibility and inability to interface with automated, high-throughput systems. To address this gap, a novel 3D tumor-tissue invasion model which supports rapid, reproducible setup and user-definition of tumor and surrounding tissue compartments was developed. High-cell density tumor compartments were created using a custom-designed fabrication system and standardized oligomeric type I collagen to define and modulate ECM physical properties. Pancreatic cancer cell lines used within this model showed expected differential invasive phenotypes. Low-passage, patient-derived pancreatic cancer cells and cancer-associated fibroblasts were used to increase model pathophysiologic relevance, yielding fibroblast-mediated tumor invasion and matrix alignment. Additionally, a proof-of-concept multiplex drug screening assay was applied to highlight this model\u2019s ability to interface with automated imaging systems and showcase its potential as a predictive tool for high-throughput, high-content drug screening.", "author" : [ { "dropping-particle" : "", "family" : "Puls", "given" : "T. J.", "non-dropping-particle" : "", "parse-names" : false, "suffix" : "" }, { "dropping-particle" : "", "family" : "Tan", "given" : "Xiaohong", "non-dropping-particle" : "", "parse-names" : false, "suffix" : "" }, { "dropping-particle" : "", "family" : "Husain", "given" : "Mahera", "non-dropping-particle" : "", "parse-names" : false, "suffix" : "" }, { "dropping-particle" : "", "family" : "Whittington", "given" : "Catherine F.", "non-dropping-particle" : "", "parse-names" : false, "suffix" : "" }, { "dropping-particle" : "", "family" : "Fishel", "given" : "Melissa L.", "non-dropping-particle" : "", "parse-names" : false, "suffix" : "" }, { "dropping-particle" : "", "family" : "Voytik-Harbin", "given" : "Sherry L.", "non-dropping-particle" : "", "parse-names" : false, "suffix" : "" } ], "container-title" : "Scientific Reports", "id" : "ITEM-1", "issue" : "1", "issued" : { "date-parts" : [ [ "2018", "12", "1" ] ] }, "publisher" : "Nature Publishing Group", "title" : "Development of a Novel 3D Tumor-tissue Invasion Model for High-throughput, High-content Phenotypic Drug Screening", "type" : "article-journal", "volume" : "8" }, "uris" : [ "http://www.mendeley.com/documents/?uuid=09abc1b8-63ad-32dd-85f6-291a8dfec462" ] } ], "mendeley" : { "formattedCitation" : "[24]", "plainTextFormattedCitation" : "[24]", "previouslyFormattedCitation" : "[24]" }, "properties" : { "noteIndex" : 0 }, "schema" : "https://github.com/citation-style-language/schema/raw/master/csl-citation.json" }</w:instrText>
      </w:r>
      <w:r w:rsidRPr="00A93A6F">
        <w:rPr>
          <w:lang w:val="en-US"/>
        </w:rPr>
        <w:fldChar w:fldCharType="separate"/>
      </w:r>
      <w:r w:rsidR="00ED1620" w:rsidRPr="00A93A6F">
        <w:rPr>
          <w:noProof/>
          <w:lang w:val="en-US"/>
        </w:rPr>
        <w:t>[24]</w:t>
      </w:r>
      <w:r w:rsidRPr="00A93A6F">
        <w:rPr>
          <w:lang w:val="en-US"/>
        </w:rPr>
        <w:fldChar w:fldCharType="end"/>
      </w:r>
      <w:r w:rsidRPr="00A93A6F">
        <w:rPr>
          <w:lang w:val="en-US"/>
        </w:rPr>
        <w:fldChar w:fldCharType="begin" w:fldLock="1"/>
      </w:r>
      <w:r w:rsidR="00ED1620" w:rsidRPr="00A93A6F">
        <w:rPr>
          <w:lang w:val="en-US"/>
        </w:rPr>
        <w:instrText>ADDIN CSL_CITATION { "citationItems" : [ { "id" : "ITEM-1", "itemData" : { "author" : [ { "dropping-particle" : "", "family" : "O\u2019Rourke", "given" : "C.", "non-dropping-particle" : "", "parse-names" : false, "suffix" : "" }, { "dropping-particle" : "", "family" : "Drake", "given" : "R.", "non-dropping-particle" : "", "parse-names" : false, "suffix" : "" }, { "dropping-particle" : "", "family" : "Loughlin", "given" : "J.", "non-dropping-particle" : "", "parse-names" : false, "suffix" : "" }, { "dropping-particle" : "", "family" : "Phillips", "given" : "J.", "non-dropping-particle" : "", "parse-names" : false, "suffix" : "" } ], "container-title" : "Materials Science", "id" : "ITEM-1", "issued" : { "date-parts" : [ [ "2013" ] ] }, "title" : "Adapting aligned stabilised hydrogels to facilitate large scale drug screening and neurobiological research.", "type" : "article-journal" }, "uris" : [ "http://www.mendeley.com/documents/?uuid=d1e8eb2d-9625-3d4c-84c0-c814a3c5c0d9" ] } ], "mendeley" : { "formattedCitation" : "[25]", "plainTextFormattedCitation" : "[25]", "previouslyFormattedCitation" : "[25]" }, "properties" : { "noteIndex" : 0 }, "schema" : "https://github.com/citation-style-language/schema/raw/master/csl-citation.json" }</w:instrText>
      </w:r>
      <w:r w:rsidRPr="00A93A6F">
        <w:rPr>
          <w:lang w:val="en-US"/>
        </w:rPr>
        <w:fldChar w:fldCharType="separate"/>
      </w:r>
      <w:r w:rsidR="00ED1620" w:rsidRPr="00A93A6F">
        <w:rPr>
          <w:noProof/>
          <w:lang w:val="en-US"/>
        </w:rPr>
        <w:t>[25]</w:t>
      </w:r>
      <w:r w:rsidRPr="00A93A6F">
        <w:rPr>
          <w:lang w:val="en-US"/>
        </w:rPr>
        <w:fldChar w:fldCharType="end"/>
      </w:r>
      <w:r w:rsidRPr="00A93A6F">
        <w:rPr>
          <w:lang w:val="en-US"/>
        </w:rPr>
        <w:t xml:space="preserve">. For example, ECM alignment guides neuronal polarization </w:t>
      </w:r>
      <w:r w:rsidRPr="00A93A6F">
        <w:rPr>
          <w:lang w:val="en-US"/>
        </w:rPr>
        <w:fldChar w:fldCharType="begin" w:fldLock="1"/>
      </w:r>
      <w:r w:rsidR="00ED1620" w:rsidRPr="00A93A6F">
        <w:rPr>
          <w:lang w:val="en-US"/>
        </w:rPr>
        <w:instrText>ADDIN CSL_CITATION { "citationItems" : [ { "id" : "ITEM-1", "itemData" : { "author" : [ { "dropping-particle" : "", "family" : "O\u2019Rourke", "given" : "C.", "non-dropping-particle" : "", "parse-names" : false, "suffix" : "" }, { "dropping-particle" : "", "family" : "Drake", "given" : "R.", "non-dropping-particle" : "", "parse-names" : false, "suffix" : "" }, { "dropping-particle" : "", "family" : "Loughlin", "given" : "J.", "non-dropping-particle" : "", "parse-names" : false, "suffix" : "" }, { "dropping-particle" : "", "family" : "Phillips", "given" : "J.", "non-dropping-particle" : "", "parse-names" : false, "suffix" : "" } ], "container-title" : "Materials Science", "id" : "ITEM-1", "issued" : { "date-parts" : [ [ "2013" ] ] }, "title" : "Adapting aligned stabilised hydrogels to facilitate large scale drug screening and neurobiological research.", "type" : "article-journal" }, "uris" : [ "http://www.mendeley.com/documents/?uuid=d1e8eb2d-9625-3d4c-84c0-c814a3c5c0d9" ] } ], "mendeley" : { "formattedCitation" : "[25]", "plainTextFormattedCitation" : "[25]", "previouslyFormattedCitation" : "[25]" }, "properties" : { "noteIndex" : 0 }, "schema" : "https://github.com/citation-style-language/schema/raw/master/csl-citation.json" }</w:instrText>
      </w:r>
      <w:r w:rsidRPr="00A93A6F">
        <w:rPr>
          <w:lang w:val="en-US"/>
        </w:rPr>
        <w:fldChar w:fldCharType="separate"/>
      </w:r>
      <w:r w:rsidR="00ED1620" w:rsidRPr="00A93A6F">
        <w:rPr>
          <w:noProof/>
          <w:lang w:val="en-US"/>
        </w:rPr>
        <w:t>[25]</w:t>
      </w:r>
      <w:r w:rsidRPr="00A93A6F">
        <w:rPr>
          <w:lang w:val="en-US"/>
        </w:rPr>
        <w:fldChar w:fldCharType="end"/>
      </w:r>
      <w:r w:rsidRPr="00A93A6F">
        <w:rPr>
          <w:lang w:val="en-US"/>
        </w:rPr>
        <w:fldChar w:fldCharType="begin" w:fldLock="1"/>
      </w:r>
      <w:r w:rsidR="00ED1620" w:rsidRPr="00A93A6F">
        <w:rPr>
          <w:lang w:val="en-US"/>
        </w:rPr>
        <w:instrText>ADDIN CSL_CITATION { "citationItems" : [ { "id" : "ITEM-1", "itemData" : { "DOI" : "10.1016/j.biomaterials.2015.07.008", "ISSN" : "18785905", "PMID" : "26210178", "abstract" : "Patterning of neuronal outgrowth in vitro is important in tissue engineering as well as for the development of neuronal interfaces with desirable characteristics. To date, this has been achieved with the aid of micro- and nanofabrication techniques giving rise to various anisotropic topographies, either in the form of continuous or discontinuous structures. In this study we propose a currently unexplored geometry of a 3D culture substrate for neuronal cell growth comprising discontinuous subcellular microstructures with anisotropic geometrical cross-section. Specifically, using laser precision 3D micro/nano fabrication techniques, silicon substrates comprising arrays of parallel oriented elliptical microcones (MCs) were fabricated to investigate whether a discontinuous geometry comprising anisotropic features at the subcellular level could influence the alignment of peripheral nervous system cell populations. It was shown that both Schwann cells and axons of sympathetic neurons were parallel oriented onto the MCs of elliptical shape, while they exhibited a random orientation onto the MCs of arbitrary shape. Notably, this topography-induced guidance effect was also observed in more complex cell culture systems, such as the organotypic culture whole dorsal root ganglia (DRG) explants. Our results suggest that a discontinuous topographical pattern could promote Schwann cell and axonal alignment, provided that it hosts anisotropic geometrical features, even though the sizes of those range at the subcellular lengthscale. The laser-patterned arrays of MCs presented here could potentially be a useful platform for patterning neurons into artificial networks, allowing the study of neuronal cells interactions under 3D ex-vivo conditions.", "author" : [ { "dropping-particle" : "", "family" : "Simitzi", "given" : "C.", "non-dropping-particle" : "", "parse-names" : false, "suffix" : "" }, { "dropping-particle" : "", "family" : "Efstathopoulos", "given" : "P.", "non-dropping-particle" : "", "parse-names" : false, "suffix" : "" }, { "dropping-particle" : "", "family" : "Kourgiantaki", "given" : "A.", "non-dropping-particle" : "", "parse-names" : false, "suffix" : "" }, { "dropping-particle" : "", "family" : "Ranella", "given" : "A.", "non-dropping-particle" : "", "parse-names" : false, "suffix" : "" }, { "dropping-particle" : "", "family" : "Charalampopoulos", "given" : "I.", "non-dropping-particle" : "", "parse-names" : false, "suffix" : "" }, { "dropping-particle" : "", "family" : "Fotakis", "given" : "C.", "non-dropping-particle" : "", "parse-names" : false, "suffix" : "" }, { "dropping-particle" : "", "family" : "Athanassakis", "given" : "I.", "non-dropping-particle" : "", "parse-names" : false, "suffix" : "" }, { "dropping-particle" : "", "family" : "Stratakis", "given" : "E.", "non-dropping-particle" : "", "parse-names" : false, "suffix" : "" }, { "dropping-particle" : "", "family" : "Gravanis", "given" : "A.", "non-dropping-particle" : "", "parse-names" : false, "suffix" : "" } ], "container-title" : "Biomaterials", "id" : "ITEM-1", "issued" : { "date-parts" : [ [ "2015", "10", "1" ] ] }, "page" : "115-128", "publisher" : "Elsevier Ltd", "title" : "Laser fabricated discontinuous anisotropic microconical substrates as a new model scaffold to control the directionality of neuronal network outgrowth", "type" : "article-journal", "volume" : "67" }, "uris" : [ "http://www.mendeley.com/documents/?uuid=9d294ee7-7ebb-35a5-9edf-7cd3f54ff724" ] } ], "mendeley" : { "formattedCitation" : "[22]", "plainTextFormattedCitation" : "[22]", "previouslyFormattedCitation" : "[22]" }, "properties" : { "noteIndex" : 0 }, "schema" : "https://github.com/citation-style-language/schema/raw/master/csl-citation.json" }</w:instrText>
      </w:r>
      <w:r w:rsidRPr="00A93A6F">
        <w:rPr>
          <w:lang w:val="en-US"/>
        </w:rPr>
        <w:fldChar w:fldCharType="separate"/>
      </w:r>
      <w:r w:rsidR="00ED1620" w:rsidRPr="00A93A6F">
        <w:rPr>
          <w:noProof/>
          <w:lang w:val="en-US"/>
        </w:rPr>
        <w:t>[22]</w:t>
      </w:r>
      <w:r w:rsidRPr="00A93A6F">
        <w:rPr>
          <w:lang w:val="en-US"/>
        </w:rPr>
        <w:fldChar w:fldCharType="end"/>
      </w:r>
      <w:r w:rsidRPr="00A93A6F">
        <w:rPr>
          <w:lang w:val="en-US"/>
        </w:rPr>
        <w:fldChar w:fldCharType="begin" w:fldLock="1"/>
      </w:r>
      <w:r w:rsidR="00ED1620" w:rsidRPr="00A93A6F">
        <w:rPr>
          <w:lang w:val="en-US"/>
        </w:rPr>
        <w:instrText>ADDIN CSL_CITATION { "citationItems" : [ { "id" : "ITEM-1", "itemData" : { "DOI" : "10.1016/j.biomaterials.2010.05.056", "ISSN" : "01429612", "abstract" : "Organized cellular alignment is critical to controlling tissue microarchitecture and biological function. Although a multitude of techniques have been described to control cellular alignment in 2D, recapitulating the cellular alignment of highly organized native tissues in 3D engineered tissues remains a challenge. While cellular alignment in engineered tissues can be induced through the use of external physical stimuli, there are few simple techniques for microscale control of cell behavior that are largely cell-driven. In this study we present a simple and direct method to control the alignment and elongation of fibroblasts, myoblasts, endothelial cells and cardiac stem cells encapsulated in microengineered 3D gelatin methacrylate (GelMA) hydrogels, demonstrating that cells with the intrinsic potential to form aligned tissues in vivo will self-organize into functional tissues in vitro if confined in the appropriate 3D microarchitecture. The presented system may be used as an in vitro model for investigating cell and tissue morphogenesis in 3D, as well as for creating tissue constructs with microscale control of 3D cellular alignment and elongation, that could have great potential for the engineering of functional tissues with aligned cells and anisotropic function. \u00a9 2010 Elsevier Ltd.", "author" : [ { "dropping-particle" : "", "family" : "Aubin", "given" : "Hug", "non-dropping-particle" : "", "parse-names" : false, "suffix" : "" }, { "dropping-particle" : "", "family" : "Nichol", "given" : "Jason W.", "non-dropping-particle" : "", "parse-names" : false, "suffix" : "" }, { "dropping-particle" : "", "family" : "Hutson", "given" : "Ch\u00e9 B.", "non-dropping-particle" : "", "parse-names" : false, "suffix" : "" }, { "dropping-particle" : "", "family" : "Bae", "given" : "Hojae", "non-dropping-particle" : "", "parse-names" : false, "suffix" : "" }, { "dropping-particle" : "", "family" : "Sieminski", "given" : "Alisha L.", "non-dropping-particle" : "", "parse-names" : false, "suffix" : "" }, { "dropping-particle" : "", "family" : "Cropek", "given" : "Donald M.", "non-dropping-particle" : "", "parse-names" : false, "suffix" : "" }, { "dropping-particle" : "", "family" : "Akhyari", "given" : "Payam", "non-dropping-particle" : "", "parse-names" : false, "suffix" : "" }, { "dropping-particle" : "", "family" : "Khademhosseini", "given" : "Ali", "non-dropping-particle" : "", "parse-names" : false, "suffix" : "" } ], "container-title" : "Biomaterials", "id" : "ITEM-1", "issue" : "27", "issued" : { "date-parts" : [ [ "2010", "9", "1" ] ] }, "page" : "6941-6951", "publisher" : "Elsevier", "title" : "Directed 3D cell alignment and elongation in microengineered hydrogels", "type" : "article-journal", "volume" : "31" }, "uris" : [ "http://www.mendeley.com/documents/?uuid=2a5e7c7d-8f71-3cc4-b773-6d95c4b459c0" ] } ], "mendeley" : { "formattedCitation" : "[26]", "plainTextFormattedCitation" : "[26]", "previouslyFormattedCitation" : "[26]" }, "properties" : { "noteIndex" : 0 }, "schema" : "https://github.com/citation-style-language/schema/raw/master/csl-citation.json" }</w:instrText>
      </w:r>
      <w:r w:rsidRPr="00A93A6F">
        <w:rPr>
          <w:lang w:val="en-US"/>
        </w:rPr>
        <w:fldChar w:fldCharType="separate"/>
      </w:r>
      <w:r w:rsidR="00ED1620" w:rsidRPr="00A93A6F">
        <w:rPr>
          <w:noProof/>
          <w:lang w:val="en-US"/>
        </w:rPr>
        <w:t>[26]</w:t>
      </w:r>
      <w:r w:rsidRPr="00A93A6F">
        <w:rPr>
          <w:lang w:val="en-US"/>
        </w:rPr>
        <w:fldChar w:fldCharType="end"/>
      </w:r>
      <w:r w:rsidRPr="00A93A6F">
        <w:rPr>
          <w:lang w:val="en-US"/>
        </w:rPr>
        <w:t xml:space="preserve"> and directs neurite motility </w:t>
      </w:r>
      <w:r w:rsidRPr="00A93A6F">
        <w:rPr>
          <w:lang w:val="en-US"/>
        </w:rPr>
        <w:fldChar w:fldCharType="begin" w:fldLock="1"/>
      </w:r>
      <w:r w:rsidR="00ED1620" w:rsidRPr="00A93A6F">
        <w:rPr>
          <w:lang w:val="en-US"/>
        </w:rPr>
        <w:instrText>ADDIN CSL_CITATION { "citationItems" : [ { "id" : "ITEM-1", "itemData" : { "DOI" : "10.3389/fmats.2018.00021", "ISSN" : "22968016", "abstract" : "As they differentiate from neuroblasts, nascent neurons become highly polarized and elongate. Neurons extend and elaborate fine and fragile cellular extensions that form circuits enabling long-distance communication and signal integration within the body. While other organ systems are developing, projections of differentiating neurons find paths to distant targets. Subsequent post-developmental neuronal damage is catastrophic because the cues for reinnervation are no longer active. Advances in biomaterials are enabling fabrication of micro-environments that encourage neuronal regrowth and restoration of function by recreating these developmental cues. This mini-review considers new materials that employ topographical, chemical, electrical, and/or mechanical cues for use in neuronal repair. Manipulating and integrating these elements in different combinations will generate new technologies to enhance neural repair.", "author" : [ { "dropping-particle" : "V.", "family" : "Cangellaris", "given" : "Olivia", "non-dropping-particle" : "", "parse-names" : false, "suffix" : "" }, { "dropping-particle" : "", "family" : "Gillette", "given" : "Martha U.", "non-dropping-particle" : "", "parse-names" : false, "suffix" : "" } ], "container-title" : "Frontiers in Materials", "id" : "ITEM-1", "issued" : { "date-parts" : [ [ "2018", "4", "10" ] ] }, "page" : "21", "publisher" : "Frontiers Media S.A.", "title" : "Biomaterials for enhancing neuronal repair", "type" : "article", "volume" : "5" }, "uris" : [ "http://www.mendeley.com/documents/?uuid=d30211a3-7f4b-321a-b7a5-83eae157d29e" ] } ], "mendeley" : { "formattedCitation" : "[27]", "plainTextFormattedCitation" : "[27]", "previouslyFormattedCitation" : "[27]" }, "properties" : { "noteIndex" : 0 }, "schema" : "https://github.com/citation-style-language/schema/raw/master/csl-citation.json" }</w:instrText>
      </w:r>
      <w:r w:rsidRPr="00A93A6F">
        <w:rPr>
          <w:lang w:val="en-US"/>
        </w:rPr>
        <w:fldChar w:fldCharType="separate"/>
      </w:r>
      <w:r w:rsidR="00ED1620" w:rsidRPr="00A93A6F">
        <w:rPr>
          <w:noProof/>
          <w:lang w:val="en-US"/>
        </w:rPr>
        <w:t>[27]</w:t>
      </w:r>
      <w:r w:rsidRPr="00A93A6F">
        <w:rPr>
          <w:lang w:val="en-US"/>
        </w:rPr>
        <w:fldChar w:fldCharType="end"/>
      </w:r>
      <w:r w:rsidRPr="00A93A6F">
        <w:rPr>
          <w:lang w:val="en-US"/>
        </w:rPr>
        <w:t xml:space="preserve">, which are both critical aspects in neurogenesis </w:t>
      </w:r>
      <w:r w:rsidRPr="00A93A6F">
        <w:rPr>
          <w:lang w:val="en-US"/>
        </w:rPr>
        <w:fldChar w:fldCharType="begin" w:fldLock="1"/>
      </w:r>
      <w:r w:rsidR="00ED1620" w:rsidRPr="00A93A6F">
        <w:rPr>
          <w:lang w:val="en-US"/>
        </w:rPr>
        <w:instrText>ADDIN CSL_CITATION { "citationItems" : [ { "id" : "ITEM-1", "itemData" : { "DOI" : "10.1152/physrev.00025.2014", "ISSN" : "15221210", "PMID" : "26133936", "abstract" : "Namba T, Funahashi Y, Nakamuta S, Xu C, Takano T, Kaibuchi K. Extracellular and Intracellular Signaling for Neuronal Polarity. Physiol Rev 95: 995-1024, 2015; Pub- lished July 1, 2015; doi:10.1152/physrev.00025.2014.\u2014Neurons are one of the highly polarized cells in the body. One of the fundamental issues in neuroscience is how neurons establish their polarity; therefore, this issue fascinates many scientists. Cultured neurons are useful tools for analyzing the mechanisms of neuronal polarization, and indeed, most of the molecules important in their polarization were identified using culture systems. However, we now know that the process of neuronal polarization in vivo differs in some respects from that in cultured neurons. One of the major differences is their surrounding microenvironment; neurons in vivo can be influenced by extrinsic factors from the microenvironment. Therefore, a major question remains: How are neurons polarized in vivo? Here, we begin by reviewing the process of neuronal polarization in culture conditions and in vivo. We also survey the molecular mechanisms underlying neuronal polarization. Finally, we introduce the theoretical basis of neuronal polarization and the possible involvement of neuronal polarity in disease and traumatic brain injury.", "author" : [ { "dropping-particle" : "", "family" : "Namba", "given" : "Takashi", "non-dropping-particle" : "", "parse-names" : false, "suffix" : "" }, { "dropping-particle" : "", "family" : "Funahashi", "given" : "Yasuhiro", "non-dropping-particle" : "", "parse-names" : false, "suffix" : "" }, { "dropping-particle" : "", "family" : "Nakamuta", "given" : "Shinichi", "non-dropping-particle" : "", "parse-names" : false, "suffix" : "" }, { "dropping-particle" : "", "family" : "Xu", "given" : "Chundi", "non-dropping-particle" : "", "parse-names" : false, "suffix" : "" }, { "dropping-particle" : "", "family" : "Takano", "given" : "Tetsuya", "non-dropping-particle" : "", "parse-names" : false, "suffix" : "" }, { "dropping-particle" : "", "family" : "Kaibuchi", "given" : "Kozo", "non-dropping-particle" : "", "parse-names" : false, "suffix" : "" } ], "container-title" : "Physiological Reviews", "id" : "ITEM-1", "issue" : "3", "issued" : { "date-parts" : [ [ "2015", "7", "1" ] ] }, "page" : "995-1024", "publisher" : "Physiol Rev", "title" : "Extracellular and intracellular signaling for neuronal polarity", "type" : "article-journal", "volume" : "95" }, "uris" : [ "http://www.mendeley.com/documents/?uuid=b5ca557b-c39e-3211-a199-6c199b8564d3" ] } ], "mendeley" : { "formattedCitation" : "[28]", "plainTextFormattedCitation" : "[28]", "previouslyFormattedCitation" : "[28]" }, "properties" : { "noteIndex" : 0 }, "schema" : "https://github.com/citation-style-language/schema/raw/master/csl-citation.json" }</w:instrText>
      </w:r>
      <w:r w:rsidRPr="00A93A6F">
        <w:rPr>
          <w:lang w:val="en-US"/>
        </w:rPr>
        <w:fldChar w:fldCharType="separate"/>
      </w:r>
      <w:r w:rsidR="00ED1620" w:rsidRPr="00A93A6F">
        <w:rPr>
          <w:noProof/>
          <w:lang w:val="en-US"/>
        </w:rPr>
        <w:t>[28]</w:t>
      </w:r>
      <w:r w:rsidRPr="00A93A6F">
        <w:rPr>
          <w:lang w:val="en-US"/>
        </w:rPr>
        <w:fldChar w:fldCharType="end"/>
      </w:r>
      <w:r w:rsidRPr="00A93A6F">
        <w:rPr>
          <w:lang w:val="en-US"/>
        </w:rPr>
        <w:t xml:space="preserve">. Also, tendon remodeling capability is enhanced in 3D aligned ECMs </w:t>
      </w:r>
      <w:r w:rsidRPr="00A93A6F">
        <w:rPr>
          <w:lang w:val="en-US"/>
        </w:rPr>
        <w:fldChar w:fldCharType="begin" w:fldLock="1"/>
      </w:r>
      <w:r w:rsidR="00ED1620" w:rsidRPr="00A93A6F">
        <w:rPr>
          <w:lang w:val="en-US"/>
        </w:rPr>
        <w:instrText>ADDIN CSL_CITATION { "citationItems" : [ { "id" : "ITEM-1", "itemData" : { "DOI" : "10.1016/j.matbio.2017.06.002", "ISSN" : "15691802", "PMID" : "28636876", "abstract" : "Tendinopathy is a widespread and unresolved clinical challenge, in which associated pain and hampered mobility present a major cause for work-related disability. Tendinopathy associates with a change from a healthy tissue with aligned extracellular matrix (ECM) and highly polarized cells that are connected head-to-tail, towards a diseased tissue with a disorganized ECM and randomly distributed cells, scar-like features that are commonly attributed to poor innate regenerative capacity of the tissue. A fundamental clinical dilemma with this scarring process is whether treatment strategies should focus on healing the affected (disorganized) tissue or strengthen the remaining healthy (anisotropic) tissue. The question was thus asked whether the intrinsic remodeling capacity of tendon-derived cells depends on the organization of the 3D extracellular matrix (isotropic vs anisotropic). Progress in this field is hampered by the lack of suitable in vitro tissue platforms. We aimed at filling this critical gap by creating and exploiting a next generation tissue platform that mimics aspects of the tendon scarring process; cellular response to a gradient in tissue organization from isotropic (scarred/non-aligned) to highly anisotropic (unscarred/aligned) was studied, as was a transient change from isotropic towards highly anisotropic. Strikingly, cells residing in an \u2018unscarred\u2019 anisotropic tissue indicated superior remodeling capacity (increased gene expression levels of collagen, matrix metalloproteinases MMPs, tissue inhibitors of MMPs), when compared to their 'scarred\u2019 isotropic counterparts. A numerical model then supported the hypothesis that cellular remodeling capacity may correlate to cellular alignment strength. This in turn may have improved cellular communication, and could thus relate to the more pronounced connexin43 gap junctions observed in anisotropic tissues. In conclusion, increased tissue anisotropy was observed to enhance the cellular potential for functional remodeling of the matrix. This may explain the poor regenerative capacity of tenocytes in chronic tendinopathy, where the pathological process has resulted in ECM disorganization. Additionally, it lends support to treatment strategies that focus on strengthening the remaining healthy tissue, rather than regenerating scarred tissue.", "author" : [ { "dropping-particle" : "", "family" : "Foolen", "given" : "Jasper", "non-dropping-particle" : "", "parse-names" : false, "suffix" : "" }, { "dropping-particle" : "", "family" : "Wunderli", "given" : "Stefania L.", "non-dropping-particle" : "", "parse-names" : false, "suffix" : "" }, { "dropping-particle" : "", "family" : "Loerakker", "given" : "Sandra", "non-dropping-particle" : "", "parse-names" : false, "suffix" : "" }, { "dropping-particle" : "", "family" : "Snedeker", "given" : "Jess G.", "non-dropping-particle" : "", "parse-names" : false, "suffix" : "" } ], "container-title" : "Matrix Biology", "id" : "ITEM-1", "issued" : { "date-parts" : [ [ "2018", "1", "1" ] ] }, "page" : "14-29", "publisher" : "Elsevier B.V.", "title" : "Tissue alignment enhances remodeling potential of tendon-derived cells - Lessons from a novel microtissue model of tendon scarring", "type" : "article-journal", "volume" : "65" }, "uris" : [ "http://www.mendeley.com/documents/?uuid=036cd68c-eee5-3b72-8010-7e971f79976c" ] } ], "mendeley" : { "formattedCitation" : "[20]", "plainTextFormattedCitation" : "[20]", "previouslyFormattedCitation" : "[20]" }, "properties" : { "noteIndex" : 0 }, "schema" : "https://github.com/citation-style-language/schema/raw/master/csl-citation.json" }</w:instrText>
      </w:r>
      <w:r w:rsidRPr="00A93A6F">
        <w:rPr>
          <w:lang w:val="en-US"/>
        </w:rPr>
        <w:fldChar w:fldCharType="separate"/>
      </w:r>
      <w:r w:rsidR="00ED1620" w:rsidRPr="00A93A6F">
        <w:rPr>
          <w:noProof/>
          <w:lang w:val="en-US"/>
        </w:rPr>
        <w:t>[20]</w:t>
      </w:r>
      <w:r w:rsidRPr="00A93A6F">
        <w:rPr>
          <w:lang w:val="en-US"/>
        </w:rPr>
        <w:fldChar w:fldCharType="end"/>
      </w:r>
      <w:r w:rsidRPr="00A93A6F">
        <w:rPr>
          <w:lang w:val="en-US"/>
        </w:rPr>
        <w:t xml:space="preserve">, ECM anisotropy induces native myocardium development </w:t>
      </w:r>
      <w:r w:rsidRPr="00A93A6F">
        <w:rPr>
          <w:i/>
          <w:iCs/>
          <w:lang w:val="en-US"/>
        </w:rPr>
        <w:t>in vitro</w:t>
      </w:r>
      <w:r w:rsidR="00744971" w:rsidRPr="00A93A6F">
        <w:rPr>
          <w:i/>
          <w:iCs/>
          <w:lang w:val="en-US"/>
        </w:rPr>
        <w:t xml:space="preserve"> </w:t>
      </w:r>
      <w:r w:rsidRPr="00A93A6F">
        <w:rPr>
          <w:lang w:val="en-US"/>
        </w:rPr>
        <w:fldChar w:fldCharType="begin" w:fldLock="1"/>
      </w:r>
      <w:r w:rsidR="00ED1620" w:rsidRPr="00A93A6F">
        <w:rPr>
          <w:lang w:val="en-US"/>
        </w:rPr>
        <w:instrText>ADDIN CSL_CITATION { "citationItems" : [ { "id" : "ITEM-1", "itemData" : { "DOI" : "10.1038/nprot.2006.203", "ISSN" : "17542189", "PMID" : "17406425", "abstract" : "We describe here a new in vitro protocol for structuring cardiac cell cultures to mimic important aspects of the in vivo ventricular myocardial phenotype by controlling the location and mechanical environment of cultured cells. Microlithography is used to engineer microstructured silicon metal wafers. Those are used to fabricate either microgrooved silicone membranes or silicone molds for microfluidic application of extracellular matrix proteins onto elastic membranes (involving flow control at micrometer resolution). The physically or microfluidically structured membranes serve as a cell culture growth substrate that supports cell alignment and allows the application of stretch. The latter is achieved with a stretching device that can deliver isotropic or anisotropic stretch. Neonatal ventricular cardiomyocytes, grown on these micropatterned membranes, develop an in vivo-like morphology with regular sarcomeric patterns. The entire process from fabrication of the micropatterned silicon metal wafers to casting of silicone molds, microfluidic patterning and cell isolation and seeding takes approximately 7 days.", "author" : [ { "dropping-particle" : "", "family" : "Camelliti", "given" : "Patrizia", "non-dropping-particle" : "", "parse-names" : false, "suffix" : "" }, { "dropping-particle" : "", "family" : "Gallagher", "given" : "John O.", "non-dropping-particle" : "", "parse-names" : false, "suffix" : "" }, { "dropping-particle" : "", "family" : "Kohl", "given" : "Peter", "non-dropping-particle" : "", "parse-names" : false, "suffix" : "" }, { "dropping-particle" : "", "family" : "McCulloch", "given" : "Andrew D.", "non-dropping-particle" : "", "parse-names" : false, "suffix" : "" } ], "container-title" : "Nature Protocols", "id" : "ITEM-1", "issue" : "3", "issued" : { "date-parts" : [ [ "2006", "8" ] ] }, "page" : "1379-1391", "title" : "Micropatterned cell cultures on elastic membranes as an in vitro model of myocardium", "type" : "article-journal", "volume" : "1" }, "uris" : [ "http://www.mendeley.com/documents/?uuid=18cfe363-80c1-3561-b210-0564527c900a" ] } ], "mendeley" : { "formattedCitation" : "[21]", "plainTextFormattedCitation" : "[21]", "previouslyFormattedCitation" : "[21]" }, "properties" : { "noteIndex" : 0 }, "schema" : "https://github.com/citation-style-language/schema/raw/master/csl-citation.json" }</w:instrText>
      </w:r>
      <w:r w:rsidRPr="00A93A6F">
        <w:rPr>
          <w:lang w:val="en-US"/>
        </w:rPr>
        <w:fldChar w:fldCharType="separate"/>
      </w:r>
      <w:r w:rsidR="00ED1620" w:rsidRPr="00A93A6F">
        <w:rPr>
          <w:noProof/>
          <w:lang w:val="en-US"/>
        </w:rPr>
        <w:t>[21]</w:t>
      </w:r>
      <w:r w:rsidRPr="00A93A6F">
        <w:rPr>
          <w:lang w:val="en-US"/>
        </w:rPr>
        <w:fldChar w:fldCharType="end"/>
      </w:r>
      <w:r w:rsidRPr="00A93A6F">
        <w:rPr>
          <w:lang w:val="en-US"/>
        </w:rPr>
        <w:t xml:space="preserve"> and anisotropic cues were shown to guide the formation of bone collagenous ECM microstructure </w:t>
      </w:r>
      <w:r w:rsidRPr="00A93A6F">
        <w:rPr>
          <w:lang w:val="en-US"/>
        </w:rPr>
        <w:fldChar w:fldCharType="begin" w:fldLock="1"/>
      </w:r>
      <w:r w:rsidR="00ED1620" w:rsidRPr="00A93A6F">
        <w:rPr>
          <w:lang w:val="en-US"/>
        </w:rPr>
        <w:instrText>ADDIN CSL_CITATION { "citationItems" : [ { "id" : "ITEM-1", "itemData" : { "DOI" : "10.1002/jbm.a.36238", "ISSN" : "15524965", "PMID" : "28921822", "abstract" : "Bone tissue has anisotropic microstructure based on collagen/biological apatite orientation, which plays essential roles in the mechanical and biological functions of bone. However, obtaining an appropriate anisotropic microstructure during the bone regeneration process remains a great challenging. A powerful strategy for the control of both differentiation and structural development of newly-formed bone is required in bone tissue engineering, in order to realize functional bone tissue regeneration. In this study, we developed a novel anisotropic culture model by combining human induced pluripotent stem cells (hiPSCs) and artificially-controlled oriented collagen scaffold. The oriented collagen scaffold allowed hiPSCs-derived osteoblast alignment and further construction of anisotropic bone matrix which mimics the bone tissue microstructure. To the best of our knowledge, this is the first report showing the construction of bone mimetic anisotropic bone matrix microstructure from hiPSCs. Moreover, we demonstrated for the first time that the hiPSCs-derived osteoblasts possess a high level of intact functionality to regulate cell alignment. \u00a9 2017 The Authors Journal of Biomedical Materials Research Part A Published by Wiley Periodicals, Inc. J Biomed Mater Res Part A: 106A: 360\u2013369, 2018.", "author" : [ { "dropping-particle" : "", "family" : "Ozasa", "given" : "Ryosuke", "non-dropping-particle" : "", "parse-names" : false, "suffix" : "" }, { "dropping-particle" : "", "family" : "Matsugaki", "given" : "Aira", "non-dropping-particle" : "", "parse-names" : false, "suffix" : "" }, { "dropping-particle" : "", "family" : "Isobe", "given" : "Yoshihiro", "non-dropping-particle" : "", "parse-names" : false, "suffix" : "" }, { "dropping-particle" : "", "family" : "Saku", "given" : "Taro", "non-dropping-particle" : "", "parse-names" : false, "suffix" : "" }, { "dropping-particle" : "", "family" : "Yun", "given" : "Hui Suk", "non-dropping-particle" : "", "parse-names" : false, "suffix" : "" }, { "dropping-particle" : "", "family" : "Nakano", "given" : "Takayoshi", "non-dropping-particle" : "", "parse-names" : false, "suffix" : "" } ], "container-title" : "Journal of Biomedical Materials Research - Part A", "id" : "ITEM-1", "issue" : "2", "issued" : { "date-parts" : [ [ "2018", "2", "1" ] ] }, "page" : "360-369", "publisher" : "John Wiley and Sons Inc", "title" : "Construction of human induced pluripotent stem cell-derived oriented bone matrix microstructure by using in vitro engineered anisotropic culture model", "type" : "article-journal", "volume" : "106" }, "uris" : [ "http://www.mendeley.com/documents/?uuid=91480bbd-d8a1-31fa-afd3-0a094e2bb960" ] } ], "mendeley" : { "formattedCitation" : "[23]", "plainTextFormattedCitation" : "[23]", "previouslyFormattedCitation" : "[23]" }, "properties" : { "noteIndex" : 0 }, "schema" : "https://github.com/citation-style-language/schema/raw/master/csl-citation.json" }</w:instrText>
      </w:r>
      <w:r w:rsidRPr="00A93A6F">
        <w:rPr>
          <w:lang w:val="en-US"/>
        </w:rPr>
        <w:fldChar w:fldCharType="separate"/>
      </w:r>
      <w:r w:rsidR="00ED1620" w:rsidRPr="00A93A6F">
        <w:rPr>
          <w:noProof/>
          <w:lang w:val="en-US"/>
        </w:rPr>
        <w:t>[23]</w:t>
      </w:r>
      <w:r w:rsidRPr="00A93A6F">
        <w:rPr>
          <w:lang w:val="en-US"/>
        </w:rPr>
        <w:fldChar w:fldCharType="end"/>
      </w:r>
      <w:r w:rsidRPr="00A93A6F">
        <w:rPr>
          <w:lang w:val="en-US"/>
        </w:rPr>
        <w:t xml:space="preserve">. Furthermore, matrix alignment has a direct </w:t>
      </w:r>
      <w:r w:rsidRPr="00A93A6F">
        <w:rPr>
          <w:lang w:val="en-US"/>
        </w:rPr>
        <w:lastRenderedPageBreak/>
        <w:t xml:space="preserve">clinical impact, since studies showed the pathological relevance of incorporating ECM alignment in tumor-tissue invasion models </w:t>
      </w:r>
      <w:r w:rsidRPr="00A93A6F">
        <w:rPr>
          <w:lang w:val="en-US"/>
        </w:rPr>
        <w:fldChar w:fldCharType="begin" w:fldLock="1"/>
      </w:r>
      <w:r w:rsidR="00ED1620" w:rsidRPr="00A93A6F">
        <w:rPr>
          <w:lang w:val="en-US"/>
        </w:rPr>
        <w:instrText>ADDIN CSL_CITATION { "citationItems" : [ { "id" : "ITEM-1", "itemData" : { "DOI" : "10.1038/s41598-018-31138-6", "ISSN" : "20452322", "PMID" : "30158688", "abstract" : "While much progress has been made in the war on cancer, highly invasive cancers such as pancreatic cancer remain difficult to treat and anti-cancer clinical trial success rates remain low. One shortcoming of the drug development process that underlies these problems is the lack of predictive, pathophysiologically relevant preclinical models of invasive tumor phenotypes. While present-day 3D spheroid invasion models more accurately recreate tumor invasion than traditional 2D models, their shortcomings include poor reproducibility and inability to interface with automated, high-throughput systems. To address this gap, a novel 3D tumor-tissue invasion model which supports rapid, reproducible setup and user-definition of tumor and surrounding tissue compartments was developed. High-cell density tumor compartments were created using a custom-designed fabrication system and standardized oligomeric type I collagen to define and modulate ECM physical properties. Pancreatic cancer cell lines used within this model showed expected differential invasive phenotypes. Low-passage, patient-derived pancreatic cancer cells and cancer-associated fibroblasts were used to increase model pathophysiologic relevance, yielding fibroblast-mediated tumor invasion and matrix alignment. Additionally, a proof-of-concept multiplex drug screening assay was applied to highlight this model\u2019s ability to interface with automated imaging systems and showcase its potential as a predictive tool for high-throughput, high-content drug screening.", "author" : [ { "dropping-particle" : "", "family" : "Puls", "given" : "T. J.", "non-dropping-particle" : "", "parse-names" : false, "suffix" : "" }, { "dropping-particle" : "", "family" : "Tan", "given" : "Xiaohong", "non-dropping-particle" : "", "parse-names" : false, "suffix" : "" }, { "dropping-particle" : "", "family" : "Husain", "given" : "Mahera", "non-dropping-particle" : "", "parse-names" : false, "suffix" : "" }, { "dropping-particle" : "", "family" : "Whittington", "given" : "Catherine F.", "non-dropping-particle" : "", "parse-names" : false, "suffix" : "" }, { "dropping-particle" : "", "family" : "Fishel", "given" : "Melissa L.", "non-dropping-particle" : "", "parse-names" : false, "suffix" : "" }, { "dropping-particle" : "", "family" : "Voytik-Harbin", "given" : "Sherry L.", "non-dropping-particle" : "", "parse-names" : false, "suffix" : "" } ], "container-title" : "Scientific Reports", "id" : "ITEM-1", "issue" : "1", "issued" : { "date-parts" : [ [ "2018", "12", "1" ] ] }, "publisher" : "Nature Publishing Group", "title" : "Development of a Novel 3D Tumor-tissue Invasion Model for High-throughput, High-content Phenotypic Drug Screening", "type" : "article-journal", "volume" : "8" }, "uris" : [ "http://www.mendeley.com/documents/?uuid=09abc1b8-63ad-32dd-85f6-291a8dfec462" ] } ], "mendeley" : { "formattedCitation" : "[24]", "plainTextFormattedCitation" : "[24]", "previouslyFormattedCitation" : "[24]" }, "properties" : { "noteIndex" : 0 }, "schema" : "https://github.com/citation-style-language/schema/raw/master/csl-citation.json" }</w:instrText>
      </w:r>
      <w:r w:rsidRPr="00A93A6F">
        <w:rPr>
          <w:lang w:val="en-US"/>
        </w:rPr>
        <w:fldChar w:fldCharType="separate"/>
      </w:r>
      <w:r w:rsidR="00ED1620" w:rsidRPr="00A93A6F">
        <w:rPr>
          <w:noProof/>
          <w:lang w:val="en-US"/>
        </w:rPr>
        <w:t>[24]</w:t>
      </w:r>
      <w:r w:rsidRPr="00A93A6F">
        <w:rPr>
          <w:lang w:val="en-US"/>
        </w:rPr>
        <w:fldChar w:fldCharType="end"/>
      </w:r>
      <w:r w:rsidRPr="00A93A6F">
        <w:rPr>
          <w:lang w:val="en-US"/>
        </w:rPr>
        <w:t>.</w:t>
      </w:r>
    </w:p>
    <w:p w14:paraId="24316059" w14:textId="2B21EA44" w:rsidR="00437BE5" w:rsidRPr="00A93A6F" w:rsidRDefault="00437BE5" w:rsidP="00437BE5">
      <w:pPr>
        <w:spacing w:line="360" w:lineRule="auto"/>
        <w:jc w:val="both"/>
        <w:rPr>
          <w:lang w:val="en-US"/>
        </w:rPr>
      </w:pPr>
      <w:r w:rsidRPr="00A93A6F">
        <w:rPr>
          <w:lang w:val="en-US"/>
        </w:rPr>
        <w:t>Inducing homogeneous fibrillar matrix alignment in 3D cell</w:t>
      </w:r>
      <w:r w:rsidR="00FD1246" w:rsidRPr="00A93A6F">
        <w:rPr>
          <w:lang w:val="en-US"/>
        </w:rPr>
        <w:t>-</w:t>
      </w:r>
      <w:r w:rsidRPr="00A93A6F">
        <w:rPr>
          <w:lang w:val="en-US"/>
        </w:rPr>
        <w:t xml:space="preserve">containing matrices over significant length scales is not trivial </w:t>
      </w:r>
      <w:r w:rsidRPr="00A93A6F">
        <w:rPr>
          <w:lang w:val="en-US"/>
        </w:rPr>
        <w:fldChar w:fldCharType="begin" w:fldLock="1"/>
      </w:r>
      <w:r w:rsidR="00ED1620" w:rsidRPr="00A93A6F">
        <w:rPr>
          <w:lang w:val="en-US"/>
        </w:rPr>
        <w:instrText>ADDIN CSL_CITATION { "citationItems" : [ { "id" : "ITEM-1", "itemData" : { "DOI" : "10.1152/AJPCELL.00036.2021", "ISSN" : "15221563", "PMID" : "33852366", "abstract" : "It is well known that biophysical properties of the extracellular matrix (ECM), including stiffness, porosity, composition, and fiber alignment (anisotropy), play a crucial role in controlling cell behavior in vivo. Type I collagen (collagen I) is a ubiquitous structural component in the ECM and has become a popular hydrogel material that can be tuned to replicate the mechanical properties found in vivo. In this review article, we describe popular methods to create 2-D and 3-D collagen I hydrogels with anisotropic fiber architectures. We focus on methods that can be readily translated from engineering and materials science laboratories to the life-science community with the overall goal of helping to increase the physiological relevance of cell culture assays.", "author" : [ { "dropping-particle" : "", "family" : "Ahmed", "given" : "Adeel", "non-dropping-particle" : "", "parse-names" : false, "suffix" : "" }, { "dropping-particle" : "", "family" : "Joshi", "given" : "Indranil M.", "non-dropping-particle" : "", "parse-names" : false, "suffix" : "" }, { "dropping-particle" : "", "family" : "Mansouri", "given" : "Mehran", "non-dropping-particle" : "", "parse-names" : false, "suffix" : "" }, { "dropping-particle" : "", "family" : "Ahamed", "given" : "Nuzhet N.N.", "non-dropping-particle" : "", "parse-names" : false, "suffix" : "" }, { "dropping-particle" : "", "family" : "Hsu", "given" : "Meng Chun", "non-dropping-particle" : "", "parse-names" : false, "suffix" : "" }, { "dropping-particle" : "", "family" : "Gaborski", "given" : "Thomas R.", "non-dropping-particle" : "", "parse-names" : false, "suffix" : "" }, { "dropping-particle" : "V.", "family" : "Abhyankar", "given" : "Vinay", "non-dropping-particle" : "", "parse-names" : false, "suffix" : "" } ], "container-title" : "American Journal of Physiology - Cell Physiology", "id" : "ITEM-1", "issue" : "6", "issued" : { "date-parts" : [ [ "2021", "6", "1" ] ] }, "page" : "C1112-C1124", "publisher" : "Am J Physiol Cell Physiol", "title" : "Engineering fiber anisotropy within natural collagen hydrogels", "type" : "article-journal", "volume" : "320" }, "uris" : [ "http://www.mendeley.com/documents/?uuid=c88908d3-c1b3-328a-953d-7897a2bcf99b" ] } ], "mendeley" : { "formattedCitation" : "[29]", "plainTextFormattedCitation" : "[29]", "previouslyFormattedCitation" : "[29]" }, "properties" : { "noteIndex" : 0 }, "schema" : "https://github.com/citation-style-language/schema/raw/master/csl-citation.json" }</w:instrText>
      </w:r>
      <w:r w:rsidRPr="00A93A6F">
        <w:rPr>
          <w:lang w:val="en-US"/>
        </w:rPr>
        <w:fldChar w:fldCharType="separate"/>
      </w:r>
      <w:r w:rsidR="00ED1620" w:rsidRPr="00A93A6F">
        <w:rPr>
          <w:noProof/>
          <w:lang w:val="en-US"/>
        </w:rPr>
        <w:t>[29]</w:t>
      </w:r>
      <w:r w:rsidRPr="00A93A6F">
        <w:rPr>
          <w:lang w:val="en-US"/>
        </w:rPr>
        <w:fldChar w:fldCharType="end"/>
      </w:r>
      <w:r w:rsidRPr="00A93A6F">
        <w:rPr>
          <w:lang w:val="en-US"/>
        </w:rPr>
        <w:t>. Various methods have been proposed for directing the self-assembly of collagen fibrillar hydrogels, either apply</w:t>
      </w:r>
      <w:r w:rsidR="00FD1246" w:rsidRPr="00A93A6F">
        <w:rPr>
          <w:lang w:val="en-US"/>
        </w:rPr>
        <w:t>ing</w:t>
      </w:r>
      <w:r w:rsidRPr="00A93A6F">
        <w:rPr>
          <w:lang w:val="en-US"/>
        </w:rPr>
        <w:t xml:space="preserve"> a constant strain rate </w:t>
      </w:r>
      <m:oMath>
        <m:acc>
          <m:accPr>
            <m:chr m:val="̇"/>
            <m:ctrlPr>
              <w:rPr>
                <w:rFonts w:ascii="Cambria Math" w:hAnsi="Cambria Math"/>
                <w:lang w:val="en-US"/>
              </w:rPr>
            </m:ctrlPr>
          </m:accPr>
          <m:e>
            <m:r>
              <w:rPr>
                <w:rFonts w:ascii="Cambria Math" w:hAnsi="Cambria Math"/>
                <w:lang w:val="en-US"/>
              </w:rPr>
              <m:t>γ</m:t>
            </m:r>
          </m:e>
        </m:acc>
      </m:oMath>
      <w:r w:rsidRPr="00A93A6F">
        <w:rPr>
          <w:lang w:val="en-US"/>
        </w:rPr>
        <w:t xml:space="preserve"> during gelation </w:t>
      </w:r>
      <w:r w:rsidRPr="00A93A6F">
        <w:rPr>
          <w:lang w:val="en-US"/>
        </w:rPr>
        <w:fldChar w:fldCharType="begin" w:fldLock="1"/>
      </w:r>
      <w:r w:rsidR="00ED1620" w:rsidRPr="00A93A6F">
        <w:rPr>
          <w:lang w:val="en-US"/>
        </w:rPr>
        <w:instrText>ADDIN CSL_CITATION { "citationItems" : [ { "id" : "ITEM-1", "itemData" : { "DOI" : "10.1002/smll.201702207", "ISSN" : "16136829", "PMID" : "28783255", "abstract" : "To regenerate soft aligned tissues in living organisms, low invasive biomaterials are required to create 3D microenvironments with a structural complexity to mimic the tissue's native architecture. Here, a tunable injectable hydrogel is reported, which allows precise engineering of the construct's anisotropy in situ. This material is defined as an Anisogel, representing a new type of tissue regenerative therapy. The Anisogel comprises a soft hydrogel, surrounding magneto-responsive, cell adhesive, short fibers, which orient in situ in the direction of a low external magnetic field, before complete gelation of the matrix. The magnetic field can be removed after gelation of the biocompatible gel precursor, which fixes the aligned fibers and preserves the anisotropic structure of the Anisogel. Fibroblasts and nerve cells grow and extend unidirectionally within the Anisogels, in comparison to hydrogels without fibers or with randomly oriented fibers. The neurons inside the Anisogel show spontaneous electrical activity with calcium signals propagating along the anisotropy axis of the material. The reported system is simple and elegant and the short magneto-responsive fibers can be produced with an effective high-throughput method, ideal for a minimal invasive route for aligned tissue therapy.", "author" : [ { "dropping-particle" : "", "family" : "Omidinia-Anarkoli", "given" : "Abdolrahman", "non-dropping-particle" : "", "parse-names" : false, "suffix" : "" }, { "dropping-particle" : "", "family" : "Boesveld", "given" : "Sarah", "non-dropping-particle" : "", "parse-names" : false, "suffix" : "" }, { "dropping-particle" : "", "family" : "Tuvshindorj", "given" : "Urandelger", "non-dropping-particle" : "", "parse-names" : false, "suffix" : "" }, { "dropping-particle" : "", "family" : "Rose", "given" : "Jonas C.", "non-dropping-particle" : "", "parse-names" : false, "suffix" : "" }, { "dropping-particle" : "", "family" : "Haraszti", "given" : "Tam\u00e1s", "non-dropping-particle" : "", "parse-names" : false, "suffix" : "" }, { "dropping-particle" : "", "family" : "Laporte", "given" : "Laura", "non-dropping-particle" : "De", "parse-names" : false, "suffix" : "" } ], "container-title" : "Small", "id" : "ITEM-1", "issue" : "36", "issued" : { "date-parts" : [ [ "2017", "9", "27" ] ] }, "publisher" : "Wiley-VCH Verlag", "title" : "An Injectable Hybrid Hydrogel with Oriented Short Fibers Induces Unidirectional Growth of Functional Nerve Cells", "type" : "article-journal", "volume" : "13" }, "uris" : [ "http://www.mendeley.com/documents/?uuid=ac939c28-b9b2-3612-95a6-941273e5a9a6" ] }, { "id" : "ITEM-2", "itemData" : { "DOI" : "10.1126/sciadv.aaz7748", "ISSN" : "23752548", "PMID" : "32582851", "abstract" : "When a sessile droplet containing a solute in a volatile solvent evaporates, flow in the droplet can transport and assemble solute particles into complex patterns. Transport in evaporating sessile droplets has largely been examined in solvents that undergo complete evaporation. Here, we demonstrate that flow in evaporating aqueous sessile droplets containing type I collagen\u2014a self-assembling polymer\u2014can be harnessed to engineer hydrated networks of aligned collagen fibers. We find that Marangoni flows direct collagen fiber assembly over millimeter-scale areas in a manner that depends on the rate of self-assembly, the relative humidity of the surrounding environment, and the geometry of the droplet. Skeletal muscle cells that are incorporated into and cultured within these evaporating droplets collectively orient and subsequently differentiate into myotubes in response to aligned networks of collagen. Our findings demonstrate a simple, tunable, and high-throughput approach to engineer aligned fibrillar hydrogels and cell-laden biomimetic materials.", "author" : [ { "dropping-particle" : "", "family" : "Nerger", "given" : "Bryan A.", "non-dropping-particle" : "", "parse-names" : false, "suffix" : "" }, { "dropping-particle" : "", "family" : "Brun", "given" : "P. T.", "non-dropping-particle" : "", "parse-names" : false, "suffix" : "" }, { "dropping-particle" : "", "family" : "Nelson", "given" : "Celeste M.", "non-dropping-particle" : "", "parse-names" : false, "suffix" : "" } ], "container-title" : "Science Advances", "id" : "ITEM-2", "issue" : "24", "issued" : { "date-parts" : [ [ "2020", "6", "1" ] ] }, "page" : "7748-7760", "publisher" : "American Association for the Advancement of Science", "title" : "Marangoni flows drive the alignment of fibrillar cell-laden hydrogels", "type" : "article-journal", "volume" : "6" }, "uris" : [ "http://www.mendeley.com/documents/?uuid=1b5cdf81-c45f-397d-8336-230403b8df41" ] }, { "id" : "ITEM-3", "itemData" : { "DOI" : "10.1039/c8sm02605j", "ISSN" : "17446848", "PMID" : "31267114", "abstract" : "Type I collagen self-assembles into three-dimensional (3D) fibrous networks. These dynamic viscoelastic materials can be remodeled in response to mechanical and chemical signals to form anisotropic networks, the structure of which influences tissue development, homeostasis, and disease progression. Conventional approaches for fabricating anisotropic networks of type I collagen are often limited to unidirectional fiber alignment over small areas. Here, we describe a new approach for engineering cell-laden networks of aligned type I collagen fibers using 3D microextrusion printing of a collagen-Matrigel ink. We demonstrate hierarchical control of 3D-printed collagen with the ability to spatially pattern collagen fiber alignment and geometry. Our data suggest that collagen alignment results from a combination of molecular crowding in the ink and shear and extensional flows present during 3D printing. We demonstrate that human breast cancer cells cultured on 3D-printed collagen constructs orient along the direction of collagen fiber alignment. We also demonstrate the ability to simultaneously bioprint epithelial cell clusters and control the alignment and geometry of collagen fibers surrounding cells in the bioink. The resulting cell-laden constructs consist of epithelial cell clusters fully embedded in aligned networks of collagen fibers. Such 3D-printed constructs can be used for studies of developmental biology, tissue engineering, and regenerative medicine.", "author" : [ { "dropping-particle" : "", "family" : "Nerger", "given" : "Bryan A.", "non-dropping-particle" : "", "parse-names" : false, "suffix" : "" }, { "dropping-particle" : "", "family" : "Brun", "given" : "P. T.", "non-dropping-particle" : "", "parse-names" : false, "suffix" : "" }, { "dropping-particle" : "", "family" : "Nelson", "given" : "Celeste M.", "non-dropping-particle" : "", "parse-names" : false, "suffix" : "" } ], "container-title" : "Soft Matter", "id" : "ITEM-3", "issue" : "28", "issued" : { "date-parts" : [ [ "2019", "7", "18" ] ] }, "page" : "5728-5738", "publisher" : "Royal Society of Chemistry", "title" : "Microextrusion printing cell-laden networks of type i collagen with patterned fiber alignment and geometry", "type" : "article-journal", "volume" : "15" }, "uris" : [ "http://www.mendeley.com/documents/?uuid=e242b61a-13e2-3ad3-af72-bc42d1a8461b" ] }, { "id" : "ITEM-4", "itemData" : { "DOI" : "10.1016/j.mtbio.2020.100058", "ISSN" : "25900064", "PMID" : "32613184", "abstract" : "Biofabrication is providing scientists and clinicians the ability to produce engineered tissues with desired shapes and gradients of composition and biological cues. Typical resolutions achieved with extrusion-based bioprinting are at the macroscopic level. However, for capturing the fibrillar nature of the extracellular matrix (ECM), it is necessary to arrange ECM components at smaller scales, down to the micron and the molecular level. Herein, we introduce a bioink containing the tyramine derivative of hyaluronan (HA; henceforth known as THA) and collagen (Col) type 1. In this bioink, similar to connective tissues, Col is present in the fibrillar form, and HA functions as a viscoelastic space filler. THA was enzymatically cross-linked under mild conditions allowing simultaneous Col fibrillogenesis, thus achieving a homogeneous distribution of Col fibrils within the viscoelastic HA-based matrix. The THA-Col composite displayed synergistic properties in terms of storage modulus and shear thinning, translating into good printability. Shear-induced alignment of the Col fibrils along the printing direction was achieved and quantified via immunofluorescence and second-harmonic generation. Cell-free and cell-laden constructs were printed and characterized, analyzing the influence of the controlled microscopic anisotropy on human bone marrow\u2013derived mesenchymal stromal cell (hMSC) migration. Anisotropic HA-Col showed cell-instructive properties modulating hMSC adhesion, morphology, and migration from micropellets stimulated by the presence and the orientation of Col fibers. Actin filament staining showed that hMSCs embedded in aligned constructs displayed increased cytoskeleton alignment along the fibril direction. Based on gene expression of cartilage/bone markers and ECM production, hMSCs embedded in the isotropic bioink displayed chondrogenic differentiation comparable with standard pellet culture by means of proteoglycan production (safranin O staining and proteoglycan quantification). The possibility of printing matrix components with control over microscopic alignment brings biofabrication one step closer to capturing the complexity of native tissues.", "author" : [ { "dropping-particle" : "", "family" : "Schwab", "given" : "A.", "non-dropping-particle" : "", "parse-names" : false, "suffix" : "" }, { "dropping-particle" : "", "family" : "H\u00e9lary", "given" : "C.", "non-dropping-particle" : "", "parse-names" : false, "suffix" : "" }, { "dropping-particle" : "", "family" : "Richards", "given" : "R. G.", "non-dropping-particle" : "", "parse-names" : false, "suffix" : "" }, { "dropping-particle" : "", "family" : "Alini", "given" : "M.", "non-dropping-particle" : "", "parse-names" : false, "suffix" : "" }, { "dropping-particle" : "", "family" : "Eglin", "given" : "D.", "non-dropping-particle" : "", "parse-names" : false, "suffix" : "" }, { "dropping-particle" : "", "family" : "D'Este", "given" : "M.", "non-dropping-particle" : "", "parse-names" : false, "suffix" : "" } ], "container-title" : "Materials Today Bio", "id" : "ITEM-4", "issued" : { "date-parts" : [ [ "2020", "6", "1" ] ] }, "publisher" : "Elsevier B.V.", "title" : "Tissue mimetic hyaluronan bioink containing collagen fibers with controlled orientation modulating cell migration and alignment", "type" : "article-journal", "volume" : "7" }, "uris" : [ "http://www.mendeley.com/documents/?uuid=18a5fa0b-7afd-38ac-a975-2ab9377f9fe6" ] }, { "id" : "ITEM-5", "itemData" : { "DOI" : "10.1088/1758-5090/ab1a8b", "ISSN" : "17585090", "PMID" : "30995622", "abstract" : "The microenvironments of tissues or organs are complex architectures comprised of structural proteins including collagen. Particularly, the cornea is organized in a lattice pattern of collagen fibrils which play a significant role in its transparency. This paper introduces a transparent bioengineered corneal structure for transplantation. The structure is fabricated by inducing shear stress to a corneal stroma-derived decellularized extracellular matrix bioink based on a 3D cell printing technique. The printed structure recapitulates the native macrostructure of the cornea with aligned collagen fibrils which results in the construction of a highly matured and transparent cornea stroma analog. The level of shear stress, controlled by the various size of the printing nozzle, manipulates the arrangement of the fibrillar structure. With proper parameter selection, the printed cornea exhibits high cellular alignment capability, indicating a tissue-specific structural organization of collagen fibrils. In addition, this structural regulation enhances critical cellular events in the assembly of collagen over time. Interestingly, the collagen fibrils that remodeled along with the printing path create a lattice pattern similar to the structure of native human cornea after 4 weeks in vivo. Taken together, these results establish the possibilities and versatility of fabricating aligned collagen fibrils; this represents significant advances in corneal tissue engineering.", "author" : [ { "dropping-particle" : "", "family" : "Kim", "given" : "Hyeonji", "non-dropping-particle" : "", "parse-names" : false, "suffix" : "" }, { "dropping-particle" : "", "family" : "Jang", "given" : "Jinah", "non-dropping-particle" : "", "parse-names" : false, "suffix" : "" }, { "dropping-particle" : "", "family" : "Park", "given" : "Junshin", "non-dropping-particle" : "", "parse-names" : false, "suffix" : "" }, { "dropping-particle" : "", "family" : "Lee", "given" : "Kyoung Pil", "non-dropping-particle" : "", "parse-names" : false, "suffix" : "" }, { "dropping-particle" : "", "family" : "Lee", "given" : "Seunghun", "non-dropping-particle" : "", "parse-names" : false, "suffix" : "" }, { "dropping-particle" : "", "family" : "Lee", "given" : "Dong Mok", "non-dropping-particle" : "", "parse-names" : false, "suffix" : "" }, { "dropping-particle" : "", "family" : "Kim", "given" : "Ki Hean", "non-dropping-particle" : "", "parse-names" : false, "suffix" : "" }, { "dropping-particle" : "", "family" : "Kim", "given" : "Hong Kyun", "non-dropping-particle" : "", "parse-names" : false, "suffix" : "" }, { "dropping-particle" : "", "family" : "Cho", "given" : "Dong Woo", "non-dropping-particle" : "", "parse-names" : false, "suffix" : "" } ], "container-title" : "Biofabrication", "id" : "ITEM-5", "issue" : "3", "issued" : { "date-parts" : [ [ "2019" ] ] }, "publisher" : "Institute of Physics Publishing", "title" : "Shear-induced alignment of collagen fibrils using 3D cell printing for corneal stroma tissue engineering", "type" : "article-journal", "volume" : "11" }, "uris" : [ "http://www.mendeley.com/documents/?uuid=e764ae6f-7448-3e40-923a-9fbc330bc867" ] } ], "mendeley" : { "formattedCitation" : "[30\u201334]", "plainTextFormattedCitation" : "[30\u201334]", "previouslyFormattedCitation" : "[30\u201334]" }, "properties" : { "noteIndex" : 0 }, "schema" : "https://github.com/citation-style-language/schema/raw/master/csl-citation.json" }</w:instrText>
      </w:r>
      <w:r w:rsidRPr="00A93A6F">
        <w:rPr>
          <w:lang w:val="en-US"/>
        </w:rPr>
        <w:fldChar w:fldCharType="separate"/>
      </w:r>
      <w:r w:rsidR="00ED1620" w:rsidRPr="00A93A6F">
        <w:rPr>
          <w:noProof/>
          <w:lang w:val="en-US"/>
        </w:rPr>
        <w:t>[30–34]</w:t>
      </w:r>
      <w:r w:rsidRPr="00A93A6F">
        <w:rPr>
          <w:lang w:val="en-US"/>
        </w:rPr>
        <w:fldChar w:fldCharType="end"/>
      </w:r>
      <w:r w:rsidRPr="00A93A6F">
        <w:rPr>
          <w:lang w:val="en-US"/>
        </w:rPr>
        <w:t xml:space="preserve"> or a constant strain </w:t>
      </w:r>
      <m:oMath>
        <m:r>
          <w:rPr>
            <w:rFonts w:ascii="Cambria Math" w:hAnsi="Cambria Math"/>
            <w:lang w:val="en-US"/>
          </w:rPr>
          <m:t>γ</m:t>
        </m:r>
      </m:oMath>
      <w:r w:rsidRPr="00A93A6F">
        <w:rPr>
          <w:lang w:val="en-US"/>
        </w:rPr>
        <w:t xml:space="preserve"> after partial or complete gelation </w:t>
      </w:r>
      <w:r w:rsidRPr="00A93A6F">
        <w:rPr>
          <w:lang w:val="en-US"/>
        </w:rPr>
        <w:fldChar w:fldCharType="begin" w:fldLock="1"/>
      </w:r>
      <w:r w:rsidR="00ED1620" w:rsidRPr="00A93A6F">
        <w:rPr>
          <w:lang w:val="en-US"/>
        </w:rPr>
        <w:instrText>ADDIN CSL_CITATION { "citationItems" : [ { "id" : "ITEM-1", "itemData" : { "DOI" : "10.1021/acsbiomaterials.8b00384", "ISSN" : "23739878", "PMID" : "33435017", "abstract" : "Alignment of collagen type I fibers is a hallmark of both physiological and pathological tissue remodeling. However, the effects of collagen fiber orientation on endothelial cell behavior and vascular network formation are poorly understood because of a lack of model systems that allow studying these potential functional connections. By casting collagen type I into prestrained (0, 10, 25, 50% strain), poly(dimethylsiloxane) (PDMS)-based microwells and releasing the mold strain following polymerization, we have created collagen gels with varying fiber alignment as confirmed by structural analysis. Endothelial cells embedded within the different gels responded to increased collagen fiber orientation by assembling into 3D vascular networks that consisted of thicker, more aligned branches and featured elevated collagen IV deposition and lumen formation relative to control conditions. These substrate-dependent changes in microvascular network formation were associated with altered cell division and migration patterns and related to enhanced mechanosignaling. Our studies indicate that collagen fiber alignment can directly regulate vascular network formation and that culture models with aligned collagen may be used to investigate the underlying mechanisms ultimately advancing our understanding of tissue development, homeostasis, and disease.", "author" : [ { "dropping-particle" : "", "family" : "McCoy", "given" : "Michael G.", "non-dropping-particle" : "", "parse-names" : false, "suffix" : "" }, { "dropping-particle" : "", "family" : "Wei", "given" : "Jane M.", "non-dropping-particle" : "", "parse-names" : false, "suffix" : "" }, { "dropping-particle" : "", "family" : "Choi", "given" : "Siyoung", "non-dropping-particle" : "", "parse-names" : false, "suffix" : "" }, { "dropping-particle" : "", "family" : "Goerger", "given" : "Julian Palacios", "non-dropping-particle" : "", "parse-names" : false, "suffix" : "" }, { "dropping-particle" : "", "family" : "Zipfel", "given" : "Warren", "non-dropping-particle" : "", "parse-names" : false, "suffix" : "" }, { "dropping-particle" : "", "family" : "Fischbach", "given" : "Claudia", "non-dropping-particle" : "", "parse-names" : false, "suffix" : "" } ], "container-title" : "ACS Biomaterials Science and Engineering", "id" : "ITEM-1", "issue" : "8", "issued" : { "date-parts" : [ [ "2018", "8", "13" ] ] }, "page" : "2967-2976", "publisher" : "American Chemical Society", "title" : "Collagen Fiber Orientation Regulates 3D Vascular Network Formation and Alignment", "type" : "article-journal", "volume" : "4" }, "uris" : [ "http://www.mendeley.com/documents/?uuid=1aaf808b-91ea-32aa-b68c-7397471c9928" ] }, { "id" : "ITEM-2", "itemData" : { "DOI" : "10.1038/ncomms14346", "ISSN" : "20411723", "PMID" : "28146148", "abstract" : "In native tissues, cellular and acellular components are anisotropically organized and often aligned in specific directions, providing structural and mechanical properties for actuating biological functions. Thus, engineering alignment not only allows for emulation of native tissue structures but might also enable implementation of specific functionalities. However, achieving desired alignment is challenging, especially in three-dimensional constructs. By exploiting the elastomeric property of polydimethylsiloxane and fibrillogenesis kinetics of collagen, here we introduce a simple yet effective method to assemble and align fibrous structures in a multi-modular three-dimensional conglomerate. Applying this method, we have reconstructed the CA3-CA1 hippocampal neural circuit three-dimensionally in a monolithic gel, in which CA3 neurons extend parallel axons to and synapse with CA1 neurons. Furthermore, we show that alignment of the fibrous scaffold facilitates the establishment of functional connectivity. This method can be applied for reconstructing other neural circuits or tissue units where anisotropic organization in a multi-modular structure is desired.", "author" : [ { "dropping-particle" : "", "family" : "Kim", "given" : "So Hyun", "non-dropping-particle" : "", "parse-names" : false, "suffix" : "" }, { "dropping-particle" : "", "family" : "Im", "given" : "Sun Kyoung", "non-dropping-particle" : "", "parse-names" : false, "suffix" : "" }, { "dropping-particle" : "", "family" : "Oh", "given" : "Soo Jin", "non-dropping-particle" : "", "parse-names" : false, "suffix" : "" }, { "dropping-particle" : "", "family" : "Jeong", "given" : "Sohyeon", "non-dropping-particle" : "", "parse-names" : false, "suffix" : "" }, { "dropping-particle" : "", "family" : "Yoon", "given" : "Eui Sung", "non-dropping-particle" : "", "parse-names" : false, "suffix" : "" }, { "dropping-particle" : "", "family" : "Lee", "given" : "C. Justin", "non-dropping-particle" : "", "parse-names" : false, "suffix" : "" }, { "dropping-particle" : "", "family" : "Choi", "given" : "Nakwon", "non-dropping-particle" : "", "parse-names" : false, "suffix" : "" }, { "dropping-particle" : "", "family" : "Hur", "given" : "Eun Mi", "non-dropping-particle" : "", "parse-names" : false, "suffix" : "" } ], "container-title" : "Nature Communications", "id" : "ITEM-2", "issued" : { "date-parts" : [ [ "2017", "2", "1" ] ] }, "publisher" : "Nature Publishing Group", "title" : "Anisotropically organized three-dimensional culture platform for reconstruction of a hippocampal neural network", "type" : "article-journal", "volume" : "8" }, "uris" : [ "http://www.mendeley.com/documents/?uuid=fb9100a5-9aa8-31c7-abc8-f80aa71054c7" ] }, { "id" : "ITEM-3", "itemData" : { "DOI" : "10.1371/journal.pone.0216537", "ISSN" : "19326203", "PMID" : "31091287", "abstract" : "Aligned collagen architecture is a characteristic feature of the tumor extracellular matrix (ECM) and has been shown to facilitate cancer metastasis using 3D in vitro models. Additional features of the ECM, such as pore size and stiffness, have also been shown to influence cellular behavior and are implicated in cancer progression. While there are several methods to produce aligned matrices to study the effect on cell behavior in vitro, it is unclear how the alignment itself may alter these other important features of the matrix. In this study, we have generated aligned collagen matrices and characterized their pore sizes and mechanical properties at the micro- and macro-scale. Our results indicate that collagen alignment can alter pore-size of matrices depending on the polymerization temperature of the collagen. Furthermore, alignment does not affect the macro-scale stiffness but alters the micro-scale stiffness in a temperature independent manner. Overall, these results describe the manifestation of confounding variables that arise due to alignment and the importance of fully characterizing biomaterials at both micro- and macro-scales.", "author" : [ { "dropping-particle" : "V.", "family" : "Taufalele", "given" : "Paul", "non-dropping-particle" : "", "parse-names" : false, "suffix" : "" }, { "dropping-particle" : "", "family" : "VanderBurgh", "given" : "Jacob A.", "non-dropping-particle" : "", "parse-names" : false, "suffix" : "" }, { "dropping-particle" : "", "family" : "Mu\u00f1oz", "given" : "Adam", "non-dropping-particle" : "", "parse-names" : false, "suffix" : "" }, { "dropping-particle" : "", "family" : "Zanotelli", "given" : "Matthew R.", "non-dropping-particle" : "", "parse-names" : false, "suffix" : "" }, { "dropping-particle" : "", "family" : "Reinhart-King", "given" : "Cynthia A.", "non-dropping-particle" : "", "parse-names" : false, "suffix" : "" } ], "container-title" : "PLoS ONE", "id" : "ITEM-3", "issue" : "5", "issued" : { "date-parts" : [ [ "2019", "5", "1" ] ] }, "publisher" : "Public Library of Science", "title" : "Fiber alignment drives changes in architectural and mechanical features in collagen matrices", "type" : "article-journal", "volume" : "14" }, "uris" : [ "http://www.mendeley.com/documents/?uuid=380fb4ef-b38f-3ebe-ad50-0bdd9e80feed" ] }, { "id" : "ITEM-4", "itemData" : { "DOI" : "10.1089/TEN.TEA.2016.0185", "ISSN" : "1937-335X", "PMID" : "28437179", "abstract" : "Recent studies in the field of neuro-tissue engineering have demonstrated the promising effects of aligned contact guidance cue to scaffolds of enhancement and direction of neuronal growth. In vivo, neurons grow and develop neurites in a complex three-dimensional (3D) extracellular matrix (ECM) surrounding. Studies have utilized hydrogel scaffolds derived from ECM molecules to better simulate natural growth. While many efforts have been made to control neuronal growth on 2D surfaces, the development of 3D scaffolds with an elaborate oriented topography to direct neuronal growth still remains a challenge. In this study, we designed a method for growing neurons in an aligned and oriented 3D collagen hydrogel. We aligned collagen fibers by inducing controlled uniaxial strain on gels. To examine the collagen hydrogel as a suitable scaffold for neuronal growth, we evaluated the physical properties of the hydrogel and measured collagen fiber properties. By combining the neuronal culture in 3D collagen hydrogels with strain-induced alignment, we were able to direct neuronal growth in the direction of the aligned collagen matrix. Quantitative evaluation of neurite extension and directionality within aligned gels was performed. The analysis showed neurite growth aligned with collagen matrix orientation, while maintaining the advantageous 3D growth.", "author" : [ { "dropping-particle" : "", "family" : "Antman-Passig", "given" : "Merav", "non-dropping-particle" : "", "parse-names" : false, "suffix" : "" }, { "dropping-particle" : "", "family" : "Levy", "given" : "Shahar", "non-dropping-particle" : "", "parse-names" : false, "suffix" : "" }, { "dropping-particle" : "", "family" : "Gartenberg", "given" : "Chaim", "non-dropping-particle" : "", "parse-names" : false, "suffix" : "" }, { "dropping-particle" : "", "family" : "Schori", "given" : "Hadas", "non-dropping-particle" : "", "parse-names" : false, "suffix" : "" }, { "dropping-particle" : "", "family" : "Shefi", "given" : "Orit", "non-dropping-particle" : "", "parse-names" : false, "suffix" : "" } ], "container-title" : "Tissue engineering. Part A", "id" : "ITEM-4", "issue" : "9-10", "issued" : { "date-parts" : [ [ "2017", "5", "1" ] ] }, "page" : "403-414", "publisher" : "Tissue Eng Part A", "title" : "Mechanically Oriented 3D Collagen Hydrogel for Directing Neurite Growth", "type" : "article-journal", "volume" : "23" }, "uris" : [ "http://www.mendeley.com/documents/?uuid=a8bda3d1-78e4-3a1e-adc9-8d4b85f7c0b0" ] }, { "id" : "ITEM-5", "itemData" : { "DOI" : "10.1002/MABI.201600068", "ISSN" : "1616-5195", "PMID" : "27136124", "abstract" : "A collagen sheet with highly aligned collagen fibers is fabricated by continuous cyclic stretch. The rearrangement of the collagen fibers depends on the different process parameters of the cyclic stretch, including magnitude, frequency, and period of stretch. The collagen fibers are aligned perpendicularly to the direction of the stretch. Corneal stromal cells and smooth muscle cells cultivated on the highly aligned collagen sheet show alignment along the collagen fibers without the stretch during culture. Thus, the sheet can be a suitable scaffold for use in regenerative medicine. (Figure presented.) .", "author" : [ { "dropping-particle" : "", "family" : "Nam", "given" : "Eunryel", "non-dropping-particle" : "", "parse-names" : false, "suffix" : "" }, { "dropping-particle" : "", "family" : "Lee", "given" : "Won Chul", "non-dropping-particle" : "", "parse-names" : false, "suffix" : "" }, { "dropping-particle" : "", "family" : "Takeuchi", "given" : "Shoji", "non-dropping-particle" : "", "parse-names" : false, "suffix" : "" } ], "container-title" : "Macromolecular Bioscience", "id" : "ITEM-5", "issue" : "7", "issued" : { "date-parts" : [ [ "2016", "7", "1" ] ] }, "page" : "995-1000", "publisher" : "John Wiley &amp; Sons, Ltd", "title" : "Formation of Highly Aligned Collagen Nanofibers by Continuous Cyclic Stretch of a Collagen Hydrogel Sheet", "type" : "article-journal", "volume" : "16" }, "uris" : [ "http://www.mendeley.com/documents/?uuid=a5cddd6b-db11-3e2d-b533-c5e49e78a55c" ] } ], "mendeley" : { "formattedCitation" : "[35\u201339]", "plainTextFormattedCitation" : "[35\u201339]", "previouslyFormattedCitation" : "[35\u201339]" }, "properties" : { "noteIndex" : 0 }, "schema" : "https://github.com/citation-style-language/schema/raw/master/csl-citation.json" }</w:instrText>
      </w:r>
      <w:r w:rsidRPr="00A93A6F">
        <w:rPr>
          <w:lang w:val="en-US"/>
        </w:rPr>
        <w:fldChar w:fldCharType="separate"/>
      </w:r>
      <w:r w:rsidR="00ED1620" w:rsidRPr="00A93A6F">
        <w:rPr>
          <w:noProof/>
          <w:lang w:val="en-US"/>
        </w:rPr>
        <w:t>[35–39]</w:t>
      </w:r>
      <w:r w:rsidRPr="00A93A6F">
        <w:rPr>
          <w:lang w:val="en-US"/>
        </w:rPr>
        <w:fldChar w:fldCharType="end"/>
      </w:r>
      <w:r w:rsidRPr="00A93A6F">
        <w:rPr>
          <w:lang w:val="en-US"/>
        </w:rPr>
        <w:t>, resulting in fibers orienting along the direction of the applied strain or strain rate.</w:t>
      </w:r>
    </w:p>
    <w:p w14:paraId="74569755" w14:textId="206BC5E6" w:rsidR="00E93DF0" w:rsidRPr="00A93A6F" w:rsidRDefault="00437BE5" w:rsidP="00437BE5">
      <w:pPr>
        <w:spacing w:line="360" w:lineRule="auto"/>
        <w:jc w:val="both"/>
        <w:rPr>
          <w:lang w:val="en-US"/>
        </w:rPr>
      </w:pPr>
      <w:r w:rsidRPr="00A93A6F">
        <w:rPr>
          <w:lang w:val="en-US"/>
        </w:rPr>
        <w:t xml:space="preserve">Approaches employing a constant </w:t>
      </w:r>
      <m:oMath>
        <m:acc>
          <m:accPr>
            <m:chr m:val="̇"/>
            <m:ctrlPr>
              <w:rPr>
                <w:rFonts w:ascii="Cambria Math" w:hAnsi="Cambria Math"/>
                <w:lang w:val="en-US"/>
              </w:rPr>
            </m:ctrlPr>
          </m:accPr>
          <m:e>
            <m:r>
              <w:rPr>
                <w:rFonts w:ascii="Cambria Math" w:hAnsi="Cambria Math"/>
                <w:lang w:val="en-US"/>
              </w:rPr>
              <m:t>γ</m:t>
            </m:r>
          </m:e>
        </m:acc>
      </m:oMath>
      <w:r w:rsidRPr="00A93A6F">
        <w:rPr>
          <w:lang w:val="en-US"/>
        </w:rPr>
        <w:t xml:space="preserve"> are commonly used in extrusion setups (</w:t>
      </w:r>
      <w:r w:rsidRPr="00A93A6F">
        <w:rPr>
          <w:i/>
          <w:iCs/>
          <w:lang w:val="en-US"/>
        </w:rPr>
        <w:t>e.g.</w:t>
      </w:r>
      <w:r w:rsidRPr="00A93A6F">
        <w:rPr>
          <w:lang w:val="en-US"/>
        </w:rPr>
        <w:t xml:space="preserve"> bioprinters) </w:t>
      </w:r>
      <w:r w:rsidRPr="00A93A6F">
        <w:rPr>
          <w:lang w:val="en-US"/>
        </w:rPr>
        <w:fldChar w:fldCharType="begin" w:fldLock="1"/>
      </w:r>
      <w:r w:rsidR="00ED1620" w:rsidRPr="00A93A6F">
        <w:rPr>
          <w:lang w:val="en-US"/>
        </w:rPr>
        <w:instrText>ADDIN CSL_CITATION { "citationItems" : [ { "id" : "ITEM-1", "itemData" : { "DOI" : "10.1039/c8sm02605j", "ISSN" : "17446848", "PMID" : "31267114", "abstract" : "Type I collagen self-assembles into three-dimensional (3D) fibrous networks. These dynamic viscoelastic materials can be remodeled in response to mechanical and chemical signals to form anisotropic networks, the structure of which influences tissue development, homeostasis, and disease progression. Conventional approaches for fabricating anisotropic networks of type I collagen are often limited to unidirectional fiber alignment over small areas. Here, we describe a new approach for engineering cell-laden networks of aligned type I collagen fibers using 3D microextrusion printing of a collagen-Matrigel ink. We demonstrate hierarchical control of 3D-printed collagen with the ability to spatially pattern collagen fiber alignment and geometry. Our data suggest that collagen alignment results from a combination of molecular crowding in the ink and shear and extensional flows present during 3D printing. We demonstrate that human breast cancer cells cultured on 3D-printed collagen constructs orient along the direction of collagen fiber alignment. We also demonstrate the ability to simultaneously bioprint epithelial cell clusters and control the alignment and geometry of collagen fibers surrounding cells in the bioink. The resulting cell-laden constructs consist of epithelial cell clusters fully embedded in aligned networks of collagen fibers. Such 3D-printed constructs can be used for studies of developmental biology, tissue engineering, and regenerative medicine.", "author" : [ { "dropping-particle" : "", "family" : "Nerger", "given" : "Bryan A.", "non-dropping-particle" : "", "parse-names" : false, "suffix" : "" }, { "dropping-particle" : "", "family" : "Brun", "given" : "P. T.", "non-dropping-particle" : "", "parse-names" : false, "suffix" : "" }, { "dropping-particle" : "", "family" : "Nelson", "given" : "Celeste M.", "non-dropping-particle" : "", "parse-names" : false, "suffix" : "" } ], "container-title" : "Soft Matter", "id" : "ITEM-1", "issue" : "28", "issued" : { "date-parts" : [ [ "2019", "7", "18" ] ] }, "page" : "5728-5738", "publisher" : "Royal Society of Chemistry", "title" : "Microextrusion printing cell-laden networks of type i collagen with patterned fiber alignment and geometry", "type" : "article-journal", "volume" : "15" }, "uris" : [ "http://www.mendeley.com/documents/?uuid=e242b61a-13e2-3ad3-af72-bc42d1a8461b" ] }, { "id" : "ITEM-2", "itemData" : { "DOI" : "10.1016/j.mtbio.2020.100058", "ISSN" : "25900064", "PMID" : "32613184", "abstract" : "Biofabrication is providing scientists and clinicians the ability to produce engineered tissues with desired shapes and gradients of composition and biological cues. Typical resolutions achieved with extrusion-based bioprinting are at the macroscopic level. However, for capturing the fibrillar nature of the extracellular matrix (ECM), it is necessary to arrange ECM components at smaller scales, down to the micron and the molecular level. Herein, we introduce a bioink containing the tyramine derivative of hyaluronan (HA; henceforth known as THA) and collagen (Col) type 1. In this bioink, similar to connective tissues, Col is present in the fibrillar form, and HA functions as a viscoelastic space filler. THA was enzymatically cross-linked under mild conditions allowing simultaneous Col fibrillogenesis, thus achieving a homogeneous distribution of Col fibrils within the viscoelastic HA-based matrix. The THA-Col composite displayed synergistic properties in terms of storage modulus and shear thinning, translating into good printability. Shear-induced alignment of the Col fibrils along the printing direction was achieved and quantified via immunofluorescence and second-harmonic generation. Cell-free and cell-laden constructs were printed and characterized, analyzing the influence of the controlled microscopic anisotropy on human bone marrow\u2013derived mesenchymal stromal cell (hMSC) migration. Anisotropic HA-Col showed cell-instructive properties modulating hMSC adhesion, morphology, and migration from micropellets stimulated by the presence and the orientation of Col fibers. Actin filament staining showed that hMSCs embedded in aligned constructs displayed increased cytoskeleton alignment along the fibril direction. Based on gene expression of cartilage/bone markers and ECM production, hMSCs embedded in the isotropic bioink displayed chondrogenic differentiation comparable with standard pellet culture by means of proteoglycan production (safranin O staining and proteoglycan quantification). The possibility of printing matrix components with control over microscopic alignment brings biofabrication one step closer to capturing the complexity of native tissues.", "author" : [ { "dropping-particle" : "", "family" : "Schwab", "given" : "A.", "non-dropping-particle" : "", "parse-names" : false, "suffix" : "" }, { "dropping-particle" : "", "family" : "H\u00e9lary", "given" : "C.", "non-dropping-particle" : "", "parse-names" : false, "suffix" : "" }, { "dropping-particle" : "", "family" : "Richards", "given" : "R. G.", "non-dropping-particle" : "", "parse-names" : false, "suffix" : "" }, { "dropping-particle" : "", "family" : "Alini", "given" : "M.", "non-dropping-particle" : "", "parse-names" : false, "suffix" : "" }, { "dropping-particle" : "", "family" : "Eglin", "given" : "D.", "non-dropping-particle" : "", "parse-names" : false, "suffix" : "" }, { "dropping-particle" : "", "family" : "D'Este", "given" : "M.", "non-dropping-particle" : "", "parse-names" : false, "suffix" : "" } ], "container-title" : "Materials Today Bio", "id" : "ITEM-2", "issued" : { "date-parts" : [ [ "2020", "6", "1" ] ] }, "publisher" : "Elsevier B.V.", "title" : "Tissue mimetic hyaluronan bioink containing collagen fibers with controlled orientation modulating cell migration and alignment", "type" : "article-journal", "volume" : "7" }, "uris" : [ "http://www.mendeley.com/documents/?uuid=18a5fa0b-7afd-38ac-a975-2ab9377f9fe6" ] }, { "id" : "ITEM-3", "itemData" : { "DOI" : "10.1088/1758-5090/ab1a8b", "ISSN" : "17585090", "PMID" : "30995622", "abstract" : "The microenvironments of tissues or organs are complex architectures comprised of structural proteins including collagen. Particularly, the cornea is organized in a lattice pattern of collagen fibrils which play a significant role in its transparency. This paper introduces a transparent bioengineered corneal structure for transplantation. The structure is fabricated by inducing shear stress to a corneal stroma-derived decellularized extracellular matrix bioink based on a 3D cell printing technique. The printed structure recapitulates the native macrostructure of the cornea with aligned collagen fibrils which results in the construction of a highly matured and transparent cornea stroma analog. The level of shear stress, controlled by the various size of the printing nozzle, manipulates the arrangement of the fibrillar structure. With proper parameter selection, the printed cornea exhibits high cellular alignment capability, indicating a tissue-specific structural organization of collagen fibrils. In addition, this structural regulation enhances critical cellular events in the assembly of collagen over time. Interestingly, the collagen fibrils that remodeled along with the printing path create a lattice pattern similar to the structure of native human cornea after 4 weeks in vivo. Taken together, these results establish the possibilities and versatility of fabricating aligned collagen fibrils; this represents significant advances in corneal tissue engineering.", "author" : [ { "dropping-particle" : "", "family" : "Kim", "given" : "Hyeonji", "non-dropping-particle" : "", "parse-names" : false, "suffix" : "" }, { "dropping-particle" : "", "family" : "Jang", "given" : "Jinah", "non-dropping-particle" : "", "parse-names" : false, "suffix" : "" }, { "dropping-particle" : "", "family" : "Park", "given" : "Junshin", "non-dropping-particle" : "", "parse-names" : false, "suffix" : "" }, { "dropping-particle" : "", "family" : "Lee", "given" : "Kyoung Pil", "non-dropping-particle" : "", "parse-names" : false, "suffix" : "" }, { "dropping-particle" : "", "family" : "Lee", "given" : "Seunghun", "non-dropping-particle" : "", "parse-names" : false, "suffix" : "" }, { "dropping-particle" : "", "family" : "Lee", "given" : "Dong Mok", "non-dropping-particle" : "", "parse-names" : false, "suffix" : "" }, { "dropping-particle" : "", "family" : "Kim", "given" : "Ki Hean", "non-dropping-particle" : "", "parse-names" : false, "suffix" : "" }, { "dropping-particle" : "", "family" : "Kim", "given" : "Hong Kyun", "non-dropping-particle" : "", "parse-names" : false, "suffix" : "" }, { "dropping-particle" : "", "family" : "Cho", "given" : "Dong Woo", "non-dropping-particle" : "", "parse-names" : false, "suffix" : "" } ], "container-title" : "Biofabrication", "id" : "ITEM-3", "issue" : "3", "issued" : { "date-parts" : [ [ "2019" ] ] }, "publisher" : "Institute of Physics Publishing", "title" : "Shear-induced alignment of collagen fibrils using 3D cell printing for corneal stroma tissue engineering", "type" : "article-journal", "volume" : "11" }, "uris" : [ "http://www.mendeley.com/documents/?uuid=e764ae6f-7448-3e40-923a-9fbc330bc867" ] } ], "mendeley" : { "formattedCitation" : "[32\u201334]", "plainTextFormattedCitation" : "[32\u201334]", "previouslyFormattedCitation" : "[32\u201334]" }, "properties" : { "noteIndex" : 0 }, "schema" : "https://github.com/citation-style-language/schema/raw/master/csl-citation.json" }</w:instrText>
      </w:r>
      <w:r w:rsidRPr="00A93A6F">
        <w:rPr>
          <w:lang w:val="en-US"/>
        </w:rPr>
        <w:fldChar w:fldCharType="separate"/>
      </w:r>
      <w:r w:rsidR="00ED1620" w:rsidRPr="00A93A6F">
        <w:rPr>
          <w:noProof/>
          <w:lang w:val="en-US"/>
        </w:rPr>
        <w:t>[32–34]</w:t>
      </w:r>
      <w:r w:rsidRPr="00A93A6F">
        <w:rPr>
          <w:lang w:val="en-US"/>
        </w:rPr>
        <w:fldChar w:fldCharType="end"/>
      </w:r>
      <w:r w:rsidRPr="00A93A6F">
        <w:rPr>
          <w:lang w:val="en-US"/>
        </w:rPr>
        <w:t xml:space="preserve">. Furthermore, a constant strain rate has also been achieved by inducing local migration of embedded magnetic beads </w:t>
      </w:r>
      <w:r w:rsidRPr="00A93A6F">
        <w:rPr>
          <w:lang w:val="en-US"/>
        </w:rPr>
        <w:fldChar w:fldCharType="begin" w:fldLock="1"/>
      </w:r>
      <w:r w:rsidR="00ED1620" w:rsidRPr="00A93A6F">
        <w:rPr>
          <w:lang w:val="en-US"/>
        </w:rPr>
        <w:instrText>ADDIN CSL_CITATION { "citationItems" : [ { "id" : "ITEM-1", "itemData" : { "DOI" : "10.1002/smll.201702207", "ISSN" : "16136829", "PMID" : "28783255", "abstract" : "To regenerate soft aligned tissues in living organisms, low invasive biomaterials are required to create 3D microenvironments with a structural complexity to mimic the tissue's native architecture. Here, a tunable injectable hydrogel is reported, which allows precise engineering of the construct's anisotropy in situ. This material is defined as an Anisogel, representing a new type of tissue regenerative therapy. The Anisogel comprises a soft hydrogel, surrounding magneto-responsive, cell adhesive, short fibers, which orient in situ in the direction of a low external magnetic field, before complete gelation of the matrix. The magnetic field can be removed after gelation of the biocompatible gel precursor, which fixes the aligned fibers and preserves the anisotropic structure of the Anisogel. Fibroblasts and nerve cells grow and extend unidirectionally within the Anisogels, in comparison to hydrogels without fibers or with randomly oriented fibers. The neurons inside the Anisogel show spontaneous electrical activity with calcium signals propagating along the anisotropy axis of the material. The reported system is simple and elegant and the short magneto-responsive fibers can be produced with an effective high-throughput method, ideal for a minimal invasive route for aligned tissue therapy.", "author" : [ { "dropping-particle" : "", "family" : "Omidinia-Anarkoli", "given" : "Abdolrahman", "non-dropping-particle" : "", "parse-names" : false, "suffix" : "" }, { "dropping-particle" : "", "family" : "Boesveld", "given" : "Sarah", "non-dropping-particle" : "", "parse-names" : false, "suffix" : "" }, { "dropping-particle" : "", "family" : "Tuvshindorj", "given" : "Urandelger", "non-dropping-particle" : "", "parse-names" : false, "suffix" : "" }, { "dropping-particle" : "", "family" : "Rose", "given" : "Jonas C.", "non-dropping-particle" : "", "parse-names" : false, "suffix" : "" }, { "dropping-particle" : "", "family" : "Haraszti", "given" : "Tam\u00e1s", "non-dropping-particle" : "", "parse-names" : false, "suffix" : "" }, { "dropping-particle" : "", "family" : "Laporte", "given" : "Laura", "non-dropping-particle" : "De", "parse-names" : false, "suffix" : "" } ], "container-title" : "Small", "id" : "ITEM-1", "issue" : "36", "issued" : { "date-parts" : [ [ "2017", "9", "27" ] ] }, "publisher" : "Wiley-VCH Verlag", "title" : "An Injectable Hybrid Hydrogel with Oriented Short Fibers Induces Unidirectional Growth of Functional Nerve Cells", "type" : "article-journal", "volume" : "13" }, "uris" : [ "http://www.mendeley.com/documents/?uuid=ac939c28-b9b2-3612-95a6-941273e5a9a6" ] } ], "mendeley" : { "formattedCitation" : "[30]", "plainTextFormattedCitation" : "[30]", "previouslyFormattedCitation" : "[30]" }, "properties" : { "noteIndex" : 0 }, "schema" : "https://github.com/citation-style-language/schema/raw/master/csl-citation.json" }</w:instrText>
      </w:r>
      <w:r w:rsidRPr="00A93A6F">
        <w:rPr>
          <w:lang w:val="en-US"/>
        </w:rPr>
        <w:fldChar w:fldCharType="separate"/>
      </w:r>
      <w:r w:rsidR="00ED1620" w:rsidRPr="00A93A6F">
        <w:rPr>
          <w:noProof/>
          <w:lang w:val="en-US"/>
        </w:rPr>
        <w:t>[30]</w:t>
      </w:r>
      <w:r w:rsidRPr="00A93A6F">
        <w:rPr>
          <w:lang w:val="en-US"/>
        </w:rPr>
        <w:fldChar w:fldCharType="end"/>
      </w:r>
      <w:r w:rsidRPr="00A93A6F">
        <w:rPr>
          <w:lang w:val="en-US"/>
        </w:rPr>
        <w:t xml:space="preserve">. More recently, Marangoni flow </w:t>
      </w:r>
      <w:r w:rsidR="00FD1246" w:rsidRPr="00A93A6F">
        <w:rPr>
          <w:lang w:val="en-US"/>
        </w:rPr>
        <w:t>was</w:t>
      </w:r>
      <w:r w:rsidRPr="00A93A6F">
        <w:rPr>
          <w:lang w:val="en-US"/>
        </w:rPr>
        <w:t xml:space="preserve"> shown to promote </w:t>
      </w:r>
      <w:r w:rsidR="00FD1246" w:rsidRPr="00A93A6F">
        <w:rPr>
          <w:lang w:val="en-US"/>
        </w:rPr>
        <w:t xml:space="preserve">collagen </w:t>
      </w:r>
      <w:r w:rsidRPr="00A93A6F">
        <w:rPr>
          <w:lang w:val="en-US"/>
        </w:rPr>
        <w:t xml:space="preserve">alignment </w:t>
      </w:r>
      <w:r w:rsidR="00FD1246" w:rsidRPr="00A93A6F">
        <w:rPr>
          <w:lang w:val="en-US"/>
        </w:rPr>
        <w:t xml:space="preserve">near </w:t>
      </w:r>
      <w:r w:rsidRPr="00A93A6F">
        <w:rPr>
          <w:lang w:val="en-US"/>
        </w:rPr>
        <w:t xml:space="preserve">the edges of evaporating droplets, capable of directing the elongation direction </w:t>
      </w:r>
      <w:r w:rsidR="00552A51" w:rsidRPr="00A93A6F">
        <w:rPr>
          <w:lang w:val="en-US"/>
        </w:rPr>
        <w:t>in</w:t>
      </w:r>
      <w:r w:rsidR="00FD1246" w:rsidRPr="00A93A6F">
        <w:rPr>
          <w:lang w:val="en-US"/>
        </w:rPr>
        <w:t xml:space="preserve"> </w:t>
      </w:r>
      <w:r w:rsidRPr="00A93A6F">
        <w:rPr>
          <w:lang w:val="en-US"/>
        </w:rPr>
        <w:t xml:space="preserve">smooth muscle cells </w:t>
      </w:r>
      <w:r w:rsidRPr="00A93A6F">
        <w:rPr>
          <w:lang w:val="en-US"/>
        </w:rPr>
        <w:fldChar w:fldCharType="begin" w:fldLock="1"/>
      </w:r>
      <w:r w:rsidR="00ED1620" w:rsidRPr="00A93A6F">
        <w:rPr>
          <w:lang w:val="en-US"/>
        </w:rPr>
        <w:instrText>ADDIN CSL_CITATION { "citationItems" : [ { "id" : "ITEM-1", "itemData" : { "DOI" : "10.1126/sciadv.aaz7748", "ISSN" : "23752548", "PMID" : "32582851", "abstract" : "When a sessile droplet containing a solute in a volatile solvent evaporates, flow in the droplet can transport and assemble solute particles into complex patterns. Transport in evaporating sessile droplets has largely been examined in solvents that undergo complete evaporation. Here, we demonstrate that flow in evaporating aqueous sessile droplets containing type I collagen\u2014a self-assembling polymer\u2014can be harnessed to engineer hydrated networks of aligned collagen fibers. We find that Marangoni flows direct collagen fiber assembly over millimeter-scale areas in a manner that depends on the rate of self-assembly, the relative humidity of the surrounding environment, and the geometry of the droplet. Skeletal muscle cells that are incorporated into and cultured within these evaporating droplets collectively orient and subsequently differentiate into myotubes in response to aligned networks of collagen. Our findings demonstrate a simple, tunable, and high-throughput approach to engineer aligned fibrillar hydrogels and cell-laden biomimetic materials.", "author" : [ { "dropping-particle" : "", "family" : "Nerger", "given" : "Bryan A.", "non-dropping-particle" : "", "parse-names" : false, "suffix" : "" }, { "dropping-particle" : "", "family" : "Brun", "given" : "P. T.", "non-dropping-particle" : "", "parse-names" : false, "suffix" : "" }, { "dropping-particle" : "", "family" : "Nelson", "given" : "Celeste M.", "non-dropping-particle" : "", "parse-names" : false, "suffix" : "" } ], "container-title" : "Science Advances", "id" : "ITEM-1", "issue" : "24", "issued" : { "date-parts" : [ [ "2020", "6", "1" ] ] }, "page" : "7748-7760", "publisher" : "American Association for the Advancement of Science", "title" : "Marangoni flows drive the alignment of fibrillar cell-laden hydrogels", "type" : "article-journal", "volume" : "6" }, "uris" : [ "http://www.mendeley.com/documents/?uuid=1b5cdf81-c45f-397d-8336-230403b8df41" ] } ], "mendeley" : { "formattedCitation" : "[31]", "plainTextFormattedCitation" : "[31]", "previouslyFormattedCitation" : "[31]" }, "properties" : { "noteIndex" : 0 }, "schema" : "https://github.com/citation-style-language/schema/raw/master/csl-citation.json" }</w:instrText>
      </w:r>
      <w:r w:rsidRPr="00A93A6F">
        <w:rPr>
          <w:lang w:val="en-US"/>
        </w:rPr>
        <w:fldChar w:fldCharType="separate"/>
      </w:r>
      <w:r w:rsidR="00ED1620" w:rsidRPr="00A93A6F">
        <w:rPr>
          <w:noProof/>
          <w:lang w:val="en-US"/>
        </w:rPr>
        <w:t>[31]</w:t>
      </w:r>
      <w:r w:rsidRPr="00A93A6F">
        <w:rPr>
          <w:lang w:val="en-US"/>
        </w:rPr>
        <w:fldChar w:fldCharType="end"/>
      </w:r>
      <w:r w:rsidRPr="00A93A6F">
        <w:rPr>
          <w:lang w:val="en-US"/>
        </w:rPr>
        <w:t xml:space="preserve">. However, in these studies the effect on cellular behavior is evaluated based on the presence or absence of alignment rather than over a range of different alignment degrees. A possible reason for the absence of tuneability is that applying a constant strain rate to a gel will lead to ruptures of the underlying network and eventually to heterogeneity in concentration as well as in alignment </w:t>
      </w:r>
      <w:r w:rsidRPr="00A93A6F">
        <w:rPr>
          <w:lang w:val="en-US"/>
        </w:rPr>
        <w:fldChar w:fldCharType="begin" w:fldLock="1"/>
      </w:r>
      <w:r w:rsidR="00ED1620" w:rsidRPr="00A93A6F">
        <w:rPr>
          <w:lang w:val="en-US"/>
        </w:rPr>
        <w:instrText>ADDIN CSL_CITATION { "citationItems" : [ { "id" : "ITEM-1", "itemData" : { "DOI" : "10.1103/PhysRevLett.92.048302", "ISSN" : "10797114", "PMID" : "14995413", "abstract" : "We report an elastic instability associated with flow-induced clustering in semidilute non-Brownian colloidal nanotubes. Rheo-optical measurements are compared with simulations of mechanical flocculation in sheared fiber suspensions, and the evolving structure is characterized as a function of confinement and shear stress. The transient rheology is correlated with the evolution of highly elastic vorticity-aligned aggregates, with the underlying instability being somewhat ubiquitous in complex fluids. \u00a9 2004 The American Physical Society.", "author" : [ { "dropping-particle" : "", "family" : "Lin-Gibson", "given" : "S.", "non-dropping-particle" : "", "parse-names" : false, "suffix" : "" }, { "dropping-particle" : "", "family" : "Pathak", "given" : "J. A.", "non-dropping-particle" : "", "parse-names" : false, "suffix" : "" }, { "dropping-particle" : "", "family" : "Grulke", "given" : "E. A.", "non-dropping-particle" : "", "parse-names" : false, "suffix" : "" }, { "dropping-particle" : "", "family" : "Wang", "given" : "H.", "non-dropping-particle" : "", "parse-names" : false, "suffix" : "" }, { "dropping-particle" : "", "family" : "Hobbie", "given" : "E. K.", "non-dropping-particle" : "", "parse-names" : false, "suffix" : "" } ], "container-title" : "Physical Review Letters", "id" : "ITEM-1", "issue" : "4", "issued" : { "date-parts" : [ [ "2004" ] ] }, "page" : "4", "publisher" : "Phys Rev Lett", "title" : "Elastic Flow Instability in Nanotube Suspensions", "type" : "article-journal", "volume" : "92" }, "uris" : [ "http://www.mendeley.com/documents/?uuid=a68bfb5f-b44e-3d9f-a277-f0cd5e7b32d3" ] } ], "mendeley" : { "formattedCitation" : "[40]", "plainTextFormattedCitation" : "[40]", "previouslyFormattedCitation" : "[40]" }, "properties" : { "noteIndex" : 0 }, "schema" : "https://github.com/citation-style-language/schema/raw/master/csl-citation.json" }</w:instrText>
      </w:r>
      <w:r w:rsidRPr="00A93A6F">
        <w:rPr>
          <w:lang w:val="en-US"/>
        </w:rPr>
        <w:fldChar w:fldCharType="separate"/>
      </w:r>
      <w:r w:rsidR="00ED1620" w:rsidRPr="00A93A6F">
        <w:rPr>
          <w:noProof/>
          <w:lang w:val="en-US"/>
        </w:rPr>
        <w:t>[40]</w:t>
      </w:r>
      <w:r w:rsidRPr="00A93A6F">
        <w:rPr>
          <w:lang w:val="en-US"/>
        </w:rPr>
        <w:fldChar w:fldCharType="end"/>
      </w:r>
      <w:r w:rsidRPr="00A93A6F">
        <w:rPr>
          <w:lang w:val="en-US"/>
        </w:rPr>
        <w:fldChar w:fldCharType="begin" w:fldLock="1"/>
      </w:r>
      <w:r w:rsidR="00ED1620" w:rsidRPr="00A93A6F">
        <w:rPr>
          <w:lang w:val="en-US"/>
        </w:rPr>
        <w:instrText>ADDIN CSL_CITATION { "citationItems" : [ { "id" : "ITEM-1", "itemData" : { "DOI" : "10.1039/d0sm01576h", "ISSN" : "17446848", "PMID" : "33300930", "abstract" : "A combination of rheology, optical microscopy and computer simulations was used to investigate the microstructural changes of a semi-dilute suspension of attractive rigid rods in an imposed shear flow. The aim is to understand the relation of the microstructure with the viscoelastic response, and the yielding and flow behaviour in different shear regimes of gels built from rodlike colloids. A semi-dilute suspension of micron sized, rodlike silica particles suspended in 11 M CsCl salt solution was used as a model system for attractive rods\u2019 gel. Upon application of steady shear the gel microstructure rearranges in different states and exhibits flow instabilities depending on shear rate, attraction strength, volume fraction and geometrical confinement. At low rod volume fractions, the suspension forms large, vorticity aligned, particle rich flocs that roll in the flow-vorticity plane, an effect that is due to an interplay between hydrodynamic interactions and geometrical confinement as suggested by computer simulations. Experimental data allow the creation of a state diagram, as a function of volume fraction and shear rates, identifying regimes of stable (or unstable) floc formation and of homogeneous gel or broken clusters. The transition is related to dimensionless Mason number, defined as the ratio of shear forces to interparticle attractive force.", "author" : [ { "dropping-particle" : "", "family" : "Das", "given" : "Mohan", "non-dropping-particle" : "", "parse-names" : false, "suffix" : "" }, { "dropping-particle" : "", "family" : "Chambon", "given" : "Lucille", "non-dropping-particle" : "", "parse-names" : false, "suffix" : "" }, { "dropping-particle" : "", "family" : "Varga", "given" : "Zsigmond", "non-dropping-particle" : "", "parse-names" : false, "suffix" : "" }, { "dropping-particle" : "", "family" : "Vamvakaki", "given" : "Maria", "non-dropping-particle" : "", "parse-names" : false, "suffix" : "" }, { "dropping-particle" : "", "family" : "Swan", "given" : "James W.", "non-dropping-particle" : "", "parse-names" : false, "suffix" : "" }, { "dropping-particle" : "", "family" : "Petekidis", "given" : "George", "non-dropping-particle" : "", "parse-names" : false, "suffix" : "" } ], "container-title" : "Soft Matter", "id" : "ITEM-1", "issue" : "5", "issued" : { "date-parts" : [ [ "2021", "2", "7" ] ] }, "page" : "1232-1245", "publisher" : "Royal Society of Chemistry", "title" : "Shear driven vorticity aligned flocs in a suspension of attractive rigid rods", "type" : "article-journal", "volume" : "17" }, "uris" : [ "http://www.mendeley.com/documents/?uuid=fb75e15d-2dfd-386f-93cc-a03511c27ee2" ] } ], "mendeley" : { "formattedCitation" : "[41]", "plainTextFormattedCitation" : "[41]", "previouslyFormattedCitation" : "[41]" }, "properties" : { "noteIndex" : 0 }, "schema" : "https://github.com/citation-style-language/schema/raw/master/csl-citation.json" }</w:instrText>
      </w:r>
      <w:r w:rsidRPr="00A93A6F">
        <w:rPr>
          <w:lang w:val="en-US"/>
        </w:rPr>
        <w:fldChar w:fldCharType="separate"/>
      </w:r>
      <w:r w:rsidR="00ED1620" w:rsidRPr="00A93A6F">
        <w:rPr>
          <w:noProof/>
          <w:lang w:val="en-US"/>
        </w:rPr>
        <w:t>[41]</w:t>
      </w:r>
      <w:r w:rsidRPr="00A93A6F">
        <w:rPr>
          <w:lang w:val="en-US"/>
        </w:rPr>
        <w:fldChar w:fldCharType="end"/>
      </w:r>
      <w:r w:rsidRPr="00A93A6F">
        <w:rPr>
          <w:lang w:val="en-US"/>
        </w:rPr>
        <w:t xml:space="preserve">. In contrast, studies utilizing a constant </w:t>
      </w:r>
      <m:oMath>
        <m:r>
          <w:rPr>
            <w:rFonts w:ascii="Cambria Math" w:hAnsi="Cambria Math"/>
            <w:lang w:val="en-US"/>
          </w:rPr>
          <m:t>γ</m:t>
        </m:r>
      </m:oMath>
      <w:r w:rsidRPr="00A93A6F">
        <w:rPr>
          <w:lang w:val="en-US"/>
        </w:rPr>
        <w:t xml:space="preserve"> have achieved control over the induced 3D alignment </w:t>
      </w:r>
      <w:r w:rsidR="00C63626" w:rsidRPr="00A93A6F">
        <w:rPr>
          <w:lang w:val="en-US"/>
        </w:rPr>
        <w:t xml:space="preserve">by means of </w:t>
      </w:r>
      <w:r w:rsidRPr="00A93A6F">
        <w:rPr>
          <w:lang w:val="en-US"/>
        </w:rPr>
        <w:t xml:space="preserve">soft lithography </w:t>
      </w:r>
      <w:r w:rsidRPr="00A93A6F">
        <w:rPr>
          <w:lang w:val="en-US"/>
        </w:rPr>
        <w:fldChar w:fldCharType="begin" w:fldLock="1"/>
      </w:r>
      <w:r w:rsidR="00ED1620" w:rsidRPr="00A93A6F">
        <w:rPr>
          <w:lang w:val="en-US"/>
        </w:rPr>
        <w:instrText>ADDIN CSL_CITATION { "citationItems" : [ { "id" : "ITEM-1", "itemData" : { "DOI" : "10.1021/acsbiomaterials.8b00384", "ISSN" : "23739878", "PMID" : "33435017", "abstract" : "Alignment of collagen type I fibers is a hallmark of both physiological and pathological tissue remodeling. However, the effects of collagen fiber orientation on endothelial cell behavior and vascular network formation are poorly understood because of a lack of model systems that allow studying these potential functional connections. By casting collagen type I into prestrained (0, 10, 25, 50% strain), poly(dimethylsiloxane) (PDMS)-based microwells and releasing the mold strain following polymerization, we have created collagen gels with varying fiber alignment as confirmed by structural analysis. Endothelial cells embedded within the different gels responded to increased collagen fiber orientation by assembling into 3D vascular networks that consisted of thicker, more aligned branches and featured elevated collagen IV deposition and lumen formation relative to control conditions. These substrate-dependent changes in microvascular network formation were associated with altered cell division and migration patterns and related to enhanced mechanosignaling. Our studies indicate that collagen fiber alignment can directly regulate vascular network formation and that culture models with aligned collagen may be used to investigate the underlying mechanisms ultimately advancing our understanding of tissue development, homeostasis, and disease.", "author" : [ { "dropping-particle" : "", "family" : "McCoy", "given" : "Michael G.", "non-dropping-particle" : "", "parse-names" : false, "suffix" : "" }, { "dropping-particle" : "", "family" : "Wei", "given" : "Jane M.", "non-dropping-particle" : "", "parse-names" : false, "suffix" : "" }, { "dropping-particle" : "", "family" : "Choi", "given" : "Siyoung", "non-dropping-particle" : "", "parse-names" : false, "suffix" : "" }, { "dropping-particle" : "", "family" : "Goerger", "given" : "Julian Palacios", "non-dropping-particle" : "", "parse-names" : false, "suffix" : "" }, { "dropping-particle" : "", "family" : "Zipfel", "given" : "Warren", "non-dropping-particle" : "", "parse-names" : false, "suffix" : "" }, { "dropping-particle" : "", "family" : "Fischbach", "given" : "Claudia", "non-dropping-particle" : "", "parse-names" : false, "suffix" : "" } ], "container-title" : "ACS Biomaterials Science and Engineering", "id" : "ITEM-1", "issue" : "8", "issued" : { "date-parts" : [ [ "2018", "8", "13" ] ] }, "page" : "2967-2976", "publisher" : "American Chemical Society", "title" : "Collagen Fiber Orientation Regulates 3D Vascular Network Formation and Alignment", "type" : "article-journal", "volume" : "4" }, "uris" : [ "http://www.mendeley.com/documents/?uuid=1aaf808b-91ea-32aa-b68c-7397471c9928" ] } ], "mendeley" : { "formattedCitation" : "[35]", "plainTextFormattedCitation" : "[35]", "previouslyFormattedCitation" : "[35]" }, "properties" : { "noteIndex" : 0 }, "schema" : "https://github.com/citation-style-language/schema/raw/master/csl-citation.json" }</w:instrText>
      </w:r>
      <w:r w:rsidRPr="00A93A6F">
        <w:rPr>
          <w:lang w:val="en-US"/>
        </w:rPr>
        <w:fldChar w:fldCharType="separate"/>
      </w:r>
      <w:r w:rsidR="00ED1620" w:rsidRPr="00A93A6F">
        <w:rPr>
          <w:noProof/>
          <w:lang w:val="en-US"/>
        </w:rPr>
        <w:t>[35]</w:t>
      </w:r>
      <w:r w:rsidRPr="00A93A6F">
        <w:rPr>
          <w:lang w:val="en-US"/>
        </w:rPr>
        <w:fldChar w:fldCharType="end"/>
      </w:r>
      <w:r w:rsidRPr="00A93A6F">
        <w:rPr>
          <w:lang w:val="en-US"/>
        </w:rPr>
        <w:t xml:space="preserve">. </w:t>
      </w:r>
      <w:r w:rsidR="00552A51" w:rsidRPr="00A93A6F">
        <w:rPr>
          <w:lang w:val="en-US"/>
        </w:rPr>
        <w:t>Here</w:t>
      </w:r>
      <w:r w:rsidRPr="00A93A6F">
        <w:rPr>
          <w:lang w:val="en-US"/>
        </w:rPr>
        <w:t xml:space="preserve">, varying degrees of alignment are obtained by controlled stretching of a fully cured confined collagen network. The resulting aligned collagen matrices </w:t>
      </w:r>
      <w:r w:rsidR="00C63626" w:rsidRPr="00A93A6F">
        <w:rPr>
          <w:lang w:val="en-US"/>
        </w:rPr>
        <w:t>were</w:t>
      </w:r>
      <w:r w:rsidRPr="00A93A6F">
        <w:rPr>
          <w:lang w:val="en-US"/>
        </w:rPr>
        <w:t xml:space="preserve"> shown to promote vascular tissue formation </w:t>
      </w:r>
      <w:r w:rsidRPr="00A93A6F">
        <w:rPr>
          <w:lang w:val="en-US"/>
        </w:rPr>
        <w:fldChar w:fldCharType="begin" w:fldLock="1"/>
      </w:r>
      <w:r w:rsidR="00ED1620" w:rsidRPr="00A93A6F">
        <w:rPr>
          <w:lang w:val="en-US"/>
        </w:rPr>
        <w:instrText>ADDIN CSL_CITATION { "citationItems" : [ { "id" : "ITEM-1", "itemData" : { "DOI" : "10.1021/acsbiomaterials.8b00384", "ISSN" : "23739878", "PMID" : "33435017", "abstract" : "Alignment of collagen type I fibers is a hallmark of both physiological and pathological tissue remodeling. However, the effects of collagen fiber orientation on endothelial cell behavior and vascular network formation are poorly understood because of a lack of model systems that allow studying these potential functional connections. By casting collagen type I into prestrained (0, 10, 25, 50% strain), poly(dimethylsiloxane) (PDMS)-based microwells and releasing the mold strain following polymerization, we have created collagen gels with varying fiber alignment as confirmed by structural analysis. Endothelial cells embedded within the different gels responded to increased collagen fiber orientation by assembling into 3D vascular networks that consisted of thicker, more aligned branches and featured elevated collagen IV deposition and lumen formation relative to control conditions. These substrate-dependent changes in microvascular network formation were associated with altered cell division and migration patterns and related to enhanced mechanosignaling. Our studies indicate that collagen fiber alignment can directly regulate vascular network formation and that culture models with aligned collagen may be used to investigate the underlying mechanisms ultimately advancing our understanding of tissue development, homeostasis, and disease.", "author" : [ { "dropping-particle" : "", "family" : "McCoy", "given" : "Michael G.", "non-dropping-particle" : "", "parse-names" : false, "suffix" : "" }, { "dropping-particle" : "", "family" : "Wei", "given" : "Jane M.", "non-dropping-particle" : "", "parse-names" : false, "suffix" : "" }, { "dropping-particle" : "", "family" : "Choi", "given" : "Siyoung", "non-dropping-particle" : "", "parse-names" : false, "suffix" : "" }, { "dropping-particle" : "", "family" : "Goerger", "given" : "Julian Palacios", "non-dropping-particle" : "", "parse-names" : false, "suffix" : "" }, { "dropping-particle" : "", "family" : "Zipfel", "given" : "Warren", "non-dropping-particle" : "", "parse-names" : false, "suffix" : "" }, { "dropping-particle" : "", "family" : "Fischbach", "given" : "Claudia", "non-dropping-particle" : "", "parse-names" : false, "suffix" : "" } ], "container-title" : "ACS Biomaterials Science and Engineering", "id" : "ITEM-1", "issue" : "8", "issued" : { "date-parts" : [ [ "2018", "8", "13" ] ] }, "page" : "2967-2976", "publisher" : "American Chemical Society", "title" : "Collagen Fiber Orientation Regulates 3D Vascular Network Formation and Alignment", "type" : "article-journal", "volume" : "4" }, "uris" : [ "http://www.mendeley.com/documents/?uuid=1aaf808b-91ea-32aa-b68c-7397471c9928" ] } ], "mendeley" : { "formattedCitation" : "[35]", "plainTextFormattedCitation" : "[35]", "previouslyFormattedCitation" : "[35]" }, "properties" : { "noteIndex" : 0 }, "schema" : "https://github.com/citation-style-language/schema/raw/master/csl-citation.json" }</w:instrText>
      </w:r>
      <w:r w:rsidRPr="00A93A6F">
        <w:rPr>
          <w:lang w:val="en-US"/>
        </w:rPr>
        <w:fldChar w:fldCharType="separate"/>
      </w:r>
      <w:r w:rsidR="00ED1620" w:rsidRPr="00A93A6F">
        <w:rPr>
          <w:noProof/>
          <w:lang w:val="en-US"/>
        </w:rPr>
        <w:t>[35]</w:t>
      </w:r>
      <w:r w:rsidRPr="00A93A6F">
        <w:rPr>
          <w:lang w:val="en-US"/>
        </w:rPr>
        <w:fldChar w:fldCharType="end"/>
      </w:r>
      <w:r w:rsidRPr="00A93A6F">
        <w:rPr>
          <w:lang w:val="en-US"/>
        </w:rPr>
        <w:t xml:space="preserve">, the </w:t>
      </w:r>
      <w:r w:rsidRPr="00A93A6F">
        <w:rPr>
          <w:i/>
          <w:iCs/>
          <w:lang w:val="en-US"/>
        </w:rPr>
        <w:t>in vitro</w:t>
      </w:r>
      <w:r w:rsidRPr="00A93A6F">
        <w:rPr>
          <w:lang w:val="en-US"/>
        </w:rPr>
        <w:t xml:space="preserve"> reconstruction of hippocampal neuronal circuits </w:t>
      </w:r>
      <w:r w:rsidRPr="00A93A6F">
        <w:rPr>
          <w:lang w:val="en-US"/>
        </w:rPr>
        <w:fldChar w:fldCharType="begin" w:fldLock="1"/>
      </w:r>
      <w:r w:rsidR="00ED1620" w:rsidRPr="00A93A6F">
        <w:rPr>
          <w:lang w:val="en-US"/>
        </w:rPr>
        <w:instrText>ADDIN CSL_CITATION { "citationItems" : [ { "id" : "ITEM-1", "itemData" : { "DOI" : "10.1038/ncomms14346", "ISSN" : "20411723", "PMID" : "28146148", "abstract" : "In native tissues, cellular and acellular components are anisotropically organized and often aligned in specific directions, providing structural and mechanical properties for actuating biological functions. Thus, engineering alignment not only allows for emulation of native tissue structures but might also enable implementation of specific functionalities. However, achieving desired alignment is challenging, especially in three-dimensional constructs. By exploiting the elastomeric property of polydimethylsiloxane and fibrillogenesis kinetics of collagen, here we introduce a simple yet effective method to assemble and align fibrous structures in a multi-modular three-dimensional conglomerate. Applying this method, we have reconstructed the CA3-CA1 hippocampal neural circuit three-dimensionally in a monolithic gel, in which CA3 neurons extend parallel axons to and synapse with CA1 neurons. Furthermore, we show that alignment of the fibrous scaffold facilitates the establishment of functional connectivity. This method can be applied for reconstructing other neural circuits or tissue units where anisotropic organization in a multi-modular structure is desired.", "author" : [ { "dropping-particle" : "", "family" : "Kim", "given" : "So Hyun", "non-dropping-particle" : "", "parse-names" : false, "suffix" : "" }, { "dropping-particle" : "", "family" : "Im", "given" : "Sun Kyoung", "non-dropping-particle" : "", "parse-names" : false, "suffix" : "" }, { "dropping-particle" : "", "family" : "Oh", "given" : "Soo Jin", "non-dropping-particle" : "", "parse-names" : false, "suffix" : "" }, { "dropping-particle" : "", "family" : "Jeong", "given" : "Sohyeon", "non-dropping-particle" : "", "parse-names" : false, "suffix" : "" }, { "dropping-particle" : "", "family" : "Yoon", "given" : "Eui Sung", "non-dropping-particle" : "", "parse-names" : false, "suffix" : "" }, { "dropping-particle" : "", "family" : "Lee", "given" : "C. Justin", "non-dropping-particle" : "", "parse-names" : false, "suffix" : "" }, { "dropping-particle" : "", "family" : "Choi", "given" : "Nakwon", "non-dropping-particle" : "", "parse-names" : false, "suffix" : "" }, { "dropping-particle" : "", "family" : "Hur", "given" : "Eun Mi", "non-dropping-particle" : "", "parse-names" : false, "suffix" : "" } ], "container-title" : "Nature Communications", "id" : "ITEM-1", "issued" : { "date-parts" : [ [ "2017", "2", "1" ] ] }, "publisher" : "Nature Publishing Group", "title" : "Anisotropically organized three-dimensional culture platform for reconstruction of a hippocampal neural network", "type" : "article-journal", "volume" : "8" }, "uris" : [ "http://www.mendeley.com/documents/?uuid=fb9100a5-9aa8-31c7-abc8-f80aa71054c7" ] } ], "mendeley" : { "formattedCitation" : "[36]", "plainTextFormattedCitation" : "[36]", "previouslyFormattedCitation" : "[36]" }, "properties" : { "noteIndex" : 0 }, "schema" : "https://github.com/citation-style-language/schema/raw/master/csl-citation.json" }</w:instrText>
      </w:r>
      <w:r w:rsidRPr="00A93A6F">
        <w:rPr>
          <w:lang w:val="en-US"/>
        </w:rPr>
        <w:fldChar w:fldCharType="separate"/>
      </w:r>
      <w:r w:rsidR="00ED1620" w:rsidRPr="00A93A6F">
        <w:rPr>
          <w:noProof/>
          <w:lang w:val="en-US"/>
        </w:rPr>
        <w:t>[36]</w:t>
      </w:r>
      <w:r w:rsidRPr="00A93A6F">
        <w:rPr>
          <w:lang w:val="en-US"/>
        </w:rPr>
        <w:fldChar w:fldCharType="end"/>
      </w:r>
      <w:r w:rsidRPr="00A93A6F">
        <w:rPr>
          <w:lang w:val="en-US"/>
        </w:rPr>
        <w:t xml:space="preserve"> and even to direct the global migration of cancerous stem cells </w:t>
      </w:r>
      <w:r w:rsidRPr="00A93A6F">
        <w:rPr>
          <w:lang w:val="en-US"/>
        </w:rPr>
        <w:fldChar w:fldCharType="begin" w:fldLock="1"/>
      </w:r>
      <w:r w:rsidR="00794DF9" w:rsidRPr="00A93A6F">
        <w:rPr>
          <w:lang w:val="en-US"/>
        </w:rPr>
        <w:instrText>ADDIN CSL_CITATION { "citationItems" : [ { "id" : "ITEM-1", "itemData" : { "DOI" : "10.1016/j.bpj.2017.01.007", "ISSN" : "15420086", "PMID" : "28297639", "abstract" : "Directed cell migration by contact guidance in aligned collagenous extracellular matrix (ECM) is a critical enabler of breast cancer dissemination. The mechanisms of this process are poorly understood, particularly in 3D, in part because of the lack of efficient methods to generate aligned collagen matrices. To address this technological gap, we propose a simple method to align collagen gels using guided cellular compaction. Our method yields highly aligned, acellular collagen constructs with predictable microstructural features, thus providing a controlled microenvironment for in vitro experiments. Quantifying cell behavior in these anisotropic constructs, we find that breast carcinoma cells are acutely sensitive to the direction and extent of collagen alignment. Further, live cell imaging and analysis of 3D cell migration reveals that alignment of collagen does not alter the total motility of breast cancer cells, but simply redirects their migration to produce largely one-dimensional movement. However, a profoundly enhanced motility in aligned collagen matrices is observed for the subpopulation of carcinoma cells with high tumor initiating and metastatic capacity, termed cancer stem cells (CSCs). Analysis of the biophysical determinants of cell migration show that nuclear deformation is not a critical factor associated with the observed increases in motility for CSCs. Rather, smaller cell size, a high degree of phenotypic plasticity, and increased protrusive activity emerge as vital facilitators of rapid, contact-guided migration of CSCs in aligned 3D collagen matrices.", "author" : [ { "dropping-particle" : "", "family" : "Ray", "given" : "Arja", "non-dropping-particle" : "", "parse-names" : false, "suffix" : "" }, { "dropping-particle" : "", "family" : "Slama", "given" : "Zachary M.", "non-dropping-particle" : "", "parse-names" : false, "suffix" : "" }, { "dropping-particle" : "", "family" : "Morford", "given" : "Rachel K.", "non-dropping-particle" : "", "parse-names" : false, "suffix" : "" }, { "dropping-particle" : "", "family" : "Madden", "given" : "Samantha A.", "non-dropping-particle" : "", "parse-names" : false, "suffix" : "" }, { "dropping-particle" : "", "family" : "Provenzano", "given" : "Paolo P.", "non-dropping-particle" : "", "parse-names" : false, "suffix" : "" } ], "container-title" : "Biophysical Journal", "id" : "ITEM-1", "issue" : "5", "issued" : { "date-parts" : [ [ "2017", "3", "14" ] ] }, "page" : "1023-1036", "publisher" : "Biophys J", "title" : "Enhanced Directional Migration of Cancer Stem Cells in 3D Aligned Collagen Matrices", "type" : "article-journal", "volume" : "112" }, "uris" : [ "http://www.mendeley.com/documents/?uuid=a9a37741-c5a4-346e-bdf2-e2dd534f446a" ] } ], "mendeley" : { "formattedCitation" : "[8]", "plainTextFormattedCitation" : "[8]", "previouslyFormattedCitation" : "[8]" }, "properties" : { "noteIndex" : 0 }, "schema" : "https://github.com/citation-style-language/schema/raw/master/csl-citation.json" }</w:instrText>
      </w:r>
      <w:r w:rsidRPr="00A93A6F">
        <w:rPr>
          <w:lang w:val="en-US"/>
        </w:rPr>
        <w:fldChar w:fldCharType="separate"/>
      </w:r>
      <w:r w:rsidR="00794DF9" w:rsidRPr="00A93A6F">
        <w:rPr>
          <w:noProof/>
          <w:lang w:val="en-US"/>
        </w:rPr>
        <w:t>[8]</w:t>
      </w:r>
      <w:r w:rsidRPr="00A93A6F">
        <w:rPr>
          <w:lang w:val="en-US"/>
        </w:rPr>
        <w:fldChar w:fldCharType="end"/>
      </w:r>
      <w:r w:rsidRPr="00A93A6F">
        <w:rPr>
          <w:lang w:val="en-US"/>
        </w:rPr>
        <w:t xml:space="preserve">. A limiting factor in these systems is, however, that the external stress provided by the confinement of the network, cannot be removed without loss of alignment, which may </w:t>
      </w:r>
      <w:r w:rsidR="00C63626" w:rsidRPr="00A93A6F">
        <w:rPr>
          <w:lang w:val="en-US"/>
        </w:rPr>
        <w:t>hamper potential</w:t>
      </w:r>
      <w:r w:rsidRPr="00A93A6F">
        <w:rPr>
          <w:lang w:val="en-US"/>
        </w:rPr>
        <w:t xml:space="preserve"> application</w:t>
      </w:r>
      <w:r w:rsidR="00C63626" w:rsidRPr="00A93A6F">
        <w:rPr>
          <w:lang w:val="en-US"/>
        </w:rPr>
        <w:t>s</w:t>
      </w:r>
      <w:r w:rsidRPr="00A93A6F">
        <w:rPr>
          <w:lang w:val="en-US"/>
        </w:rPr>
        <w:t xml:space="preserve">. Consequently, tissue engineering applications demand novel approaches that allow tuning fiber alignment in 3D networks, resulting in homogeneous and reproducible cell-laden </w:t>
      </w:r>
      <w:r w:rsidRPr="00A93A6F">
        <w:rPr>
          <w:i/>
          <w:lang w:val="en-US"/>
        </w:rPr>
        <w:t>in vitro</w:t>
      </w:r>
      <w:r w:rsidRPr="00A93A6F">
        <w:rPr>
          <w:lang w:val="en-US"/>
        </w:rPr>
        <w:t xml:space="preserve"> model systems without the need for external stresses to sustain alignment. </w:t>
      </w:r>
    </w:p>
    <w:p w14:paraId="31CA2801" w14:textId="15D619A8" w:rsidR="00E93DF0" w:rsidRPr="00A93A6F" w:rsidRDefault="00C25B04" w:rsidP="00437BE5">
      <w:pPr>
        <w:spacing w:line="360" w:lineRule="auto"/>
        <w:jc w:val="both"/>
        <w:rPr>
          <w:lang w:val="en-US"/>
        </w:rPr>
      </w:pPr>
      <w:r w:rsidRPr="00A93A6F">
        <w:rPr>
          <w:lang w:val="en-US"/>
        </w:rPr>
        <w:t>In this paper we introduce a new methodology resulting in</w:t>
      </w:r>
      <w:r w:rsidR="00490038" w:rsidRPr="00A93A6F">
        <w:rPr>
          <w:lang w:val="en-US"/>
        </w:rPr>
        <w:t xml:space="preserve"> fibrillar networks with</w:t>
      </w:r>
      <w:r w:rsidRPr="00A93A6F">
        <w:rPr>
          <w:lang w:val="en-US"/>
        </w:rPr>
        <w:t xml:space="preserve"> self-supported, high</w:t>
      </w:r>
      <w:r w:rsidR="00490038" w:rsidRPr="00A93A6F">
        <w:rPr>
          <w:lang w:val="en-US"/>
        </w:rPr>
        <w:t>ly</w:t>
      </w:r>
      <w:r w:rsidRPr="00A93A6F">
        <w:rPr>
          <w:lang w:val="en-US"/>
        </w:rPr>
        <w:t xml:space="preserve"> reproducible alignment</w:t>
      </w:r>
      <w:r w:rsidR="00C63626" w:rsidRPr="00A93A6F">
        <w:rPr>
          <w:lang w:val="en-US"/>
        </w:rPr>
        <w:t xml:space="preserve"> and</w:t>
      </w:r>
      <w:r w:rsidRPr="00A93A6F">
        <w:rPr>
          <w:lang w:val="en-US"/>
        </w:rPr>
        <w:t xml:space="preserve"> a homogeneous fiber density. This is achieved by subjecting the solidifying system, at a well-defined initiation point, to a constant shear stress (</w:t>
      </w:r>
      <m:oMath>
        <m:sSub>
          <m:sSubPr>
            <m:ctrlPr>
              <w:rPr>
                <w:rFonts w:ascii="Cambria Math" w:hAnsi="Cambria Math"/>
                <w:lang w:val="en-US"/>
              </w:rPr>
            </m:ctrlPr>
          </m:sSubPr>
          <m:e>
            <m:r>
              <w:rPr>
                <w:rFonts w:ascii="Cambria Math" w:hAnsi="Cambria Math"/>
                <w:lang w:val="en-US"/>
              </w:rPr>
              <m:t>σ</m:t>
            </m:r>
          </m:e>
          <m:sub>
            <m:r>
              <w:rPr>
                <w:rFonts w:ascii="Cambria Math" w:hAnsi="Cambria Math"/>
                <w:lang w:val="en-US"/>
              </w:rPr>
              <m:t>app</m:t>
            </m:r>
          </m:sub>
        </m:sSub>
      </m:oMath>
      <w:r w:rsidRPr="00A93A6F">
        <w:rPr>
          <w:lang w:val="en-US"/>
        </w:rPr>
        <w:t xml:space="preserve">), which is high enough to temporarily initiate flow during gelation, </w:t>
      </w:r>
      <w:r w:rsidR="00BC3129" w:rsidRPr="00A93A6F">
        <w:rPr>
          <w:lang w:val="en-US"/>
        </w:rPr>
        <w:t xml:space="preserve">while remaining sufficiently </w:t>
      </w:r>
      <w:r w:rsidRPr="00A93A6F">
        <w:rPr>
          <w:lang w:val="en-US"/>
        </w:rPr>
        <w:t>low to guarantee that cessation of flow occurs due to further solidification. This cessation ensures the persistence of the induced alignment, which we characterize using SHG microscopy.</w:t>
      </w:r>
    </w:p>
    <w:p w14:paraId="5125CE0B" w14:textId="20B0CF15" w:rsidR="00437BE5" w:rsidRPr="00A93A6F" w:rsidRDefault="00437BE5" w:rsidP="00437BE5">
      <w:pPr>
        <w:spacing w:line="360" w:lineRule="auto"/>
        <w:jc w:val="both"/>
        <w:rPr>
          <w:lang w:val="en-US"/>
        </w:rPr>
      </w:pPr>
      <w:r w:rsidRPr="00A93A6F">
        <w:rPr>
          <w:lang w:val="en-US"/>
        </w:rPr>
        <w:lastRenderedPageBreak/>
        <w:t>We describe first how the new protocol yields a material with well-controlled rheological properties, such as</w:t>
      </w:r>
      <w:r w:rsidR="00974116" w:rsidRPr="00A93A6F">
        <w:rPr>
          <w:lang w:val="en-US"/>
        </w:rPr>
        <w:t xml:space="preserve"> the induced strain (</w:t>
      </w:r>
      <m:oMath>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ind</m:t>
            </m:r>
          </m:sub>
        </m:sSub>
      </m:oMath>
      <w:r w:rsidR="00974116" w:rsidRPr="00A93A6F">
        <w:rPr>
          <w:lang w:val="en-US"/>
        </w:rPr>
        <w:t>)</w:t>
      </w:r>
      <w:r w:rsidRPr="00A93A6F">
        <w:rPr>
          <w:lang w:val="en-US"/>
        </w:rPr>
        <w:t>, based on the process parameter</w:t>
      </w:r>
      <w:r w:rsidR="00D92F5C" w:rsidRPr="00A93A6F">
        <w:rPr>
          <w:lang w:val="en-US"/>
        </w:rPr>
        <w:t>s</w:t>
      </w:r>
      <w:r w:rsidRPr="00A93A6F">
        <w:rPr>
          <w:lang w:val="en-US"/>
        </w:rPr>
        <w:t xml:space="preserve">. We then demonstrate how these properties are related to the alignment in the sample. Subsequently, the </w:t>
      </w:r>
      <w:r w:rsidR="00104EDD" w:rsidRPr="00A93A6F">
        <w:rPr>
          <w:lang w:val="en-US"/>
        </w:rPr>
        <w:t xml:space="preserve">limitations </w:t>
      </w:r>
      <w:r w:rsidRPr="00A93A6F">
        <w:rPr>
          <w:lang w:val="en-US"/>
        </w:rPr>
        <w:t xml:space="preserve">of the technique are discussed, together with the impact of gelation temperature (37 </w:t>
      </w:r>
      <w:r w:rsidRPr="00A93A6F">
        <w:rPr>
          <w:vertAlign w:val="superscript"/>
          <w:lang w:val="en-US"/>
        </w:rPr>
        <w:t>◦</w:t>
      </w:r>
      <w:r w:rsidRPr="00A93A6F">
        <w:rPr>
          <w:lang w:val="en-US"/>
        </w:rPr>
        <w:t xml:space="preserve">C or 27 </w:t>
      </w:r>
      <w:r w:rsidRPr="00A93A6F">
        <w:rPr>
          <w:vertAlign w:val="superscript"/>
          <w:lang w:val="en-US"/>
        </w:rPr>
        <w:t>◦</w:t>
      </w:r>
      <w:r w:rsidRPr="00A93A6F">
        <w:rPr>
          <w:lang w:val="en-US"/>
        </w:rPr>
        <w:t>C).</w:t>
      </w:r>
      <w:bookmarkEnd w:id="1"/>
    </w:p>
    <w:p w14:paraId="325E6798" w14:textId="77777777" w:rsidR="00437BE5" w:rsidRPr="00A93A6F" w:rsidRDefault="00437BE5" w:rsidP="00437BE5">
      <w:pPr>
        <w:pStyle w:val="Legend"/>
        <w:spacing w:line="360" w:lineRule="auto"/>
      </w:pPr>
    </w:p>
    <w:p w14:paraId="6AB905C3" w14:textId="77777777" w:rsidR="00437BE5" w:rsidRPr="00A93A6F" w:rsidRDefault="00437BE5" w:rsidP="00437BE5">
      <w:pPr>
        <w:pStyle w:val="Legend"/>
        <w:spacing w:line="360" w:lineRule="auto"/>
        <w:rPr>
          <w:b/>
        </w:rPr>
      </w:pPr>
      <w:r w:rsidRPr="00A93A6F">
        <w:rPr>
          <w:b/>
        </w:rPr>
        <w:t>2. Materials and methods</w:t>
      </w:r>
    </w:p>
    <w:p w14:paraId="571EF7FC" w14:textId="77777777" w:rsidR="00437BE5" w:rsidRPr="00A93A6F" w:rsidRDefault="00437BE5" w:rsidP="00437BE5">
      <w:pPr>
        <w:pStyle w:val="Legend"/>
        <w:spacing w:line="360" w:lineRule="auto"/>
        <w:rPr>
          <w:b/>
        </w:rPr>
      </w:pPr>
      <w:r w:rsidRPr="00A93A6F">
        <w:rPr>
          <w:b/>
        </w:rPr>
        <w:t>2.1 Stress controlled shear flow approach</w:t>
      </w:r>
    </w:p>
    <w:p w14:paraId="5A1C58D6" w14:textId="6E2BDC3E" w:rsidR="00437BE5" w:rsidRPr="00A93A6F" w:rsidRDefault="00437BE5" w:rsidP="00437BE5">
      <w:pPr>
        <w:spacing w:line="360" w:lineRule="auto"/>
        <w:jc w:val="both"/>
        <w:rPr>
          <w:lang w:val="en-US"/>
        </w:rPr>
      </w:pPr>
      <w:r w:rsidRPr="00A93A6F">
        <w:rPr>
          <w:lang w:val="en-US"/>
        </w:rPr>
        <w:t xml:space="preserve">In our method, a stress </w:t>
      </w:r>
      <m:oMath>
        <m:sSub>
          <m:sSubPr>
            <m:ctrlPr>
              <w:rPr>
                <w:rFonts w:ascii="Cambria Math" w:hAnsi="Cambria Math"/>
                <w:lang w:val="en-US"/>
              </w:rPr>
            </m:ctrlPr>
          </m:sSubPr>
          <m:e>
            <m:r>
              <w:rPr>
                <w:rFonts w:ascii="Cambria Math" w:hAnsi="Cambria Math"/>
                <w:lang w:val="en-US"/>
              </w:rPr>
              <m:t>σ</m:t>
            </m:r>
          </m:e>
          <m:sub>
            <m:r>
              <w:rPr>
                <w:rFonts w:ascii="Cambria Math" w:hAnsi="Cambria Math"/>
                <w:lang w:val="en-US"/>
              </w:rPr>
              <m:t>app</m:t>
            </m:r>
          </m:sub>
        </m:sSub>
      </m:oMath>
      <w:r w:rsidRPr="00A93A6F">
        <w:rPr>
          <w:lang w:val="en-US"/>
        </w:rPr>
        <w:t xml:space="preserve"> is applied using a rheometer with a plate-plate geometry at a well-defined time during gelation, which we refer to as the initiation point. The applied stress is kept constant over a duration exceeding the time needed to complete the solidification process of the hydrogel. </w:t>
      </w:r>
    </w:p>
    <w:p w14:paraId="0C88DEDD" w14:textId="61AF8C12" w:rsidR="00437BE5" w:rsidRPr="00A93A6F" w:rsidRDefault="00437BE5" w:rsidP="00437BE5">
      <w:pPr>
        <w:spacing w:line="360" w:lineRule="auto"/>
        <w:jc w:val="both"/>
        <w:rPr>
          <w:lang w:val="en-US"/>
        </w:rPr>
      </w:pPr>
      <w:r w:rsidRPr="00A93A6F">
        <w:rPr>
          <w:lang w:val="en-US"/>
        </w:rPr>
        <w:t>The system will per definition flow when the applied stress exceeds the yield stress (</w:t>
      </w:r>
      <m:oMath>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yield</m:t>
            </m:r>
          </m:sub>
        </m:sSub>
        <m:r>
          <w:rPr>
            <w:rFonts w:ascii="Cambria Math" w:hAnsi="Cambria Math"/>
            <w:lang w:val="en-US"/>
          </w:rPr>
          <m:t>(t)</m:t>
        </m:r>
      </m:oMath>
      <w:r w:rsidRPr="00A93A6F">
        <w:rPr>
          <w:lang w:val="en-US"/>
        </w:rPr>
        <w:t>) of the material (</w:t>
      </w:r>
      <m:oMath>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app</m:t>
            </m:r>
          </m:sub>
        </m:sSub>
        <m:r>
          <w:rPr>
            <w:rFonts w:ascii="Cambria Math" w:hAnsi="Cambria Math"/>
            <w:lang w:val="en-US"/>
          </w:rPr>
          <m:t>&gt;</m:t>
        </m:r>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yield</m:t>
            </m:r>
          </m:sub>
        </m:sSub>
        <m:r>
          <w:rPr>
            <w:rFonts w:ascii="Cambria Math" w:hAnsi="Cambria Math"/>
            <w:lang w:val="en-US"/>
          </w:rPr>
          <m:t>(t)</m:t>
        </m:r>
      </m:oMath>
      <w:r w:rsidRPr="00A93A6F">
        <w:rPr>
          <w:lang w:val="en-US"/>
        </w:rPr>
        <w:t xml:space="preserve">). When </w:t>
      </w:r>
      <m:oMath>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app</m:t>
            </m:r>
          </m:sub>
        </m:sSub>
      </m:oMath>
      <w:r w:rsidRPr="00A93A6F">
        <w:rPr>
          <w:lang w:val="en-US"/>
        </w:rPr>
        <w:t xml:space="preserve"> is much higher than the yield stress, </w:t>
      </w:r>
      <m:oMath>
        <m:sSub>
          <m:sSubPr>
            <m:ctrlPr>
              <w:rPr>
                <w:rFonts w:ascii="Cambria Math" w:hAnsi="Cambria Math"/>
                <w:lang w:val="en-US"/>
              </w:rPr>
            </m:ctrlPr>
          </m:sSubPr>
          <m:e>
            <m:r>
              <w:rPr>
                <w:rFonts w:ascii="Cambria Math" w:hAnsi="Cambria Math"/>
                <w:lang w:val="en-US"/>
              </w:rPr>
              <m:t>σ</m:t>
            </m:r>
          </m:e>
          <m:sub>
            <m:r>
              <w:rPr>
                <w:rFonts w:ascii="Cambria Math" w:hAnsi="Cambria Math"/>
                <w:lang w:val="en-US"/>
              </w:rPr>
              <m:t>app</m:t>
            </m:r>
          </m:sub>
        </m:sSub>
        <m:r>
          <w:rPr>
            <w:rFonts w:ascii="Cambria Math" w:hAnsi="Cambria Math" w:hint="eastAsia"/>
            <w:lang w:val="en-US"/>
          </w:rPr>
          <m:t>≫</m:t>
        </m:r>
        <m:r>
          <w:rPr>
            <w:rFonts w:ascii="Cambria Math" w:hAnsi="Cambria Math" w:hint="eastAsia"/>
            <w:lang w:val="en-US"/>
          </w:rPr>
          <m:t xml:space="preserve"> </m:t>
        </m:r>
        <m:sSub>
          <m:sSubPr>
            <m:ctrlPr>
              <w:rPr>
                <w:rFonts w:ascii="Cambria Math" w:hAnsi="Cambria Math"/>
                <w:lang w:val="en-US"/>
              </w:rPr>
            </m:ctrlPr>
          </m:sSubPr>
          <m:e>
            <m:r>
              <w:rPr>
                <w:rFonts w:ascii="Cambria Math" w:hAnsi="Cambria Math"/>
                <w:lang w:val="en-US"/>
              </w:rPr>
              <m:t>σ</m:t>
            </m:r>
          </m:e>
          <m:sub>
            <m:r>
              <w:rPr>
                <w:rFonts w:ascii="Cambria Math" w:hAnsi="Cambria Math"/>
                <w:lang w:val="en-US"/>
              </w:rPr>
              <m:t>yield</m:t>
            </m:r>
          </m:sub>
        </m:sSub>
        <m:d>
          <m:dPr>
            <m:ctrlPr>
              <w:rPr>
                <w:rFonts w:ascii="Cambria Math" w:hAnsi="Cambria Math"/>
                <w:i/>
                <w:lang w:val="en-US"/>
              </w:rPr>
            </m:ctrlPr>
          </m:dPr>
          <m:e>
            <m:r>
              <w:rPr>
                <w:rFonts w:ascii="Cambria Math" w:hAnsi="Cambria Math"/>
                <w:lang w:val="en-US"/>
              </w:rPr>
              <m:t>t</m:t>
            </m:r>
          </m:e>
        </m:d>
      </m:oMath>
      <w:r w:rsidRPr="00A93A6F">
        <w:rPr>
          <w:lang w:val="en-US"/>
        </w:rPr>
        <w:t>, then the system will continuously flow and break (</w:t>
      </w:r>
      <w:r w:rsidRPr="00A93A6F">
        <w:rPr>
          <w:b/>
          <w:lang w:val="en-US"/>
        </w:rPr>
        <w:t>Figure 1.b</w:t>
      </w:r>
      <w:r w:rsidRPr="00A93A6F">
        <w:rPr>
          <w:lang w:val="en-US"/>
        </w:rPr>
        <w:t xml:space="preserve">), which </w:t>
      </w:r>
      <w:r w:rsidR="00BF3583" w:rsidRPr="00A93A6F">
        <w:rPr>
          <w:lang w:val="en-US"/>
        </w:rPr>
        <w:t>will induce</w:t>
      </w:r>
      <w:r w:rsidRPr="00A93A6F">
        <w:rPr>
          <w:lang w:val="en-US"/>
        </w:rPr>
        <w:t xml:space="preserve"> heterogeneities in fiber density. When </w:t>
      </w:r>
      <m:oMath>
        <m:sSub>
          <m:sSubPr>
            <m:ctrlPr>
              <w:rPr>
                <w:rFonts w:ascii="Cambria Math" w:hAnsi="Cambria Math"/>
                <w:lang w:val="en-US"/>
              </w:rPr>
            </m:ctrlPr>
          </m:sSubPr>
          <m:e>
            <m:r>
              <w:rPr>
                <w:rFonts w:ascii="Cambria Math" w:hAnsi="Cambria Math"/>
                <w:lang w:val="en-US"/>
              </w:rPr>
              <m:t>σ</m:t>
            </m:r>
          </m:e>
          <m:sub>
            <m:r>
              <w:rPr>
                <w:rFonts w:ascii="Cambria Math" w:hAnsi="Cambria Math"/>
                <w:lang w:val="en-US"/>
              </w:rPr>
              <m:t>app</m:t>
            </m:r>
          </m:sub>
        </m:sSub>
      </m:oMath>
      <w:r w:rsidRPr="00A93A6F">
        <w:rPr>
          <w:lang w:val="en-US"/>
        </w:rPr>
        <w:t xml:space="preserve"> is much smaller than the yield stress of the material, so when </w:t>
      </w:r>
      <m:oMath>
        <m:sSub>
          <m:sSubPr>
            <m:ctrlPr>
              <w:rPr>
                <w:rFonts w:ascii="Cambria Math" w:hAnsi="Cambria Math"/>
                <w:lang w:val="en-US"/>
              </w:rPr>
            </m:ctrlPr>
          </m:sSubPr>
          <m:e>
            <m:r>
              <w:rPr>
                <w:rFonts w:ascii="Cambria Math" w:hAnsi="Cambria Math"/>
                <w:lang w:val="en-US"/>
              </w:rPr>
              <m:t>σ</m:t>
            </m:r>
          </m:e>
          <m:sub>
            <m:r>
              <w:rPr>
                <w:rFonts w:ascii="Cambria Math" w:hAnsi="Cambria Math"/>
                <w:lang w:val="en-US"/>
              </w:rPr>
              <m:t>app</m:t>
            </m:r>
          </m:sub>
        </m:sSub>
        <m:r>
          <w:rPr>
            <w:rFonts w:ascii="Cambria Math" w:hAnsi="Cambria Math"/>
            <w:lang w:val="en-US"/>
          </w:rPr>
          <m:t xml:space="preserve">≪ </m:t>
        </m:r>
        <m:sSub>
          <m:sSubPr>
            <m:ctrlPr>
              <w:rPr>
                <w:rFonts w:ascii="Cambria Math" w:hAnsi="Cambria Math"/>
                <w:lang w:val="en-US"/>
              </w:rPr>
            </m:ctrlPr>
          </m:sSubPr>
          <m:e>
            <m:r>
              <w:rPr>
                <w:rFonts w:ascii="Cambria Math" w:hAnsi="Cambria Math"/>
                <w:lang w:val="en-US"/>
              </w:rPr>
              <m:t>σ</m:t>
            </m:r>
          </m:e>
          <m:sub>
            <m:r>
              <w:rPr>
                <w:rFonts w:ascii="Cambria Math" w:hAnsi="Cambria Math"/>
                <w:lang w:val="en-US"/>
              </w:rPr>
              <m:t>yield</m:t>
            </m:r>
          </m:sub>
        </m:sSub>
        <m:d>
          <m:dPr>
            <m:ctrlPr>
              <w:rPr>
                <w:rFonts w:ascii="Cambria Math" w:hAnsi="Cambria Math"/>
                <w:i/>
                <w:lang w:val="en-US"/>
              </w:rPr>
            </m:ctrlPr>
          </m:dPr>
          <m:e>
            <m:r>
              <w:rPr>
                <w:rFonts w:ascii="Cambria Math" w:hAnsi="Cambria Math"/>
                <w:lang w:val="en-US"/>
              </w:rPr>
              <m:t>t</m:t>
            </m:r>
          </m:e>
        </m:d>
      </m:oMath>
      <w:r w:rsidRPr="00A93A6F">
        <w:rPr>
          <w:lang w:val="en-US"/>
        </w:rPr>
        <w:t xml:space="preserve">, then </w:t>
      </w:r>
      <m:oMath>
        <m:sSub>
          <m:sSubPr>
            <m:ctrlPr>
              <w:rPr>
                <w:rFonts w:ascii="Cambria Math" w:hAnsi="Cambria Math"/>
                <w:lang w:val="en-US"/>
              </w:rPr>
            </m:ctrlPr>
          </m:sSubPr>
          <m:e>
            <m:r>
              <w:rPr>
                <w:rFonts w:ascii="Cambria Math" w:hAnsi="Cambria Math"/>
                <w:lang w:val="en-US"/>
              </w:rPr>
              <m:t>σ</m:t>
            </m:r>
          </m:e>
          <m:sub>
            <m:r>
              <w:rPr>
                <w:rFonts w:ascii="Cambria Math" w:hAnsi="Cambria Math"/>
                <w:lang w:val="en-US"/>
              </w:rPr>
              <m:t>app</m:t>
            </m:r>
          </m:sub>
        </m:sSub>
      </m:oMath>
      <w:r w:rsidRPr="00A93A6F">
        <w:rPr>
          <w:lang w:val="en-US"/>
        </w:rPr>
        <w:t xml:space="preserve"> will induce deformation</w:t>
      </w:r>
      <w:r w:rsidR="0084420F" w:rsidRPr="00A93A6F">
        <w:rPr>
          <w:lang w:val="en-US"/>
        </w:rPr>
        <w:t xml:space="preserve">, </w:t>
      </w:r>
      <m:oMath>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ind</m:t>
            </m:r>
          </m:sub>
        </m:sSub>
      </m:oMath>
      <w:r w:rsidR="0084420F" w:rsidRPr="00A93A6F">
        <w:rPr>
          <w:lang w:val="en-US"/>
        </w:rPr>
        <w:t>,</w:t>
      </w:r>
      <w:r w:rsidRPr="00A93A6F">
        <w:rPr>
          <w:lang w:val="en-US"/>
        </w:rPr>
        <w:t xml:space="preserve"> and alignment as long as it is applied, </w:t>
      </w:r>
      <w:r w:rsidR="00BC3129" w:rsidRPr="00A93A6F">
        <w:rPr>
          <w:lang w:val="en-US"/>
        </w:rPr>
        <w:t xml:space="preserve">but </w:t>
      </w:r>
      <w:r w:rsidRPr="00A93A6F">
        <w:rPr>
          <w:lang w:val="en-US"/>
        </w:rPr>
        <w:t xml:space="preserve">a complete recoil </w:t>
      </w:r>
      <w:r w:rsidR="00BC3129" w:rsidRPr="00A93A6F">
        <w:rPr>
          <w:lang w:val="en-US"/>
        </w:rPr>
        <w:t xml:space="preserve">will occur </w:t>
      </w:r>
      <w:r w:rsidRPr="00A93A6F">
        <w:rPr>
          <w:lang w:val="en-US"/>
        </w:rPr>
        <w:t>upon removing the stress, mean</w:t>
      </w:r>
      <w:r w:rsidR="00BC3129" w:rsidRPr="00A93A6F">
        <w:rPr>
          <w:lang w:val="en-US"/>
        </w:rPr>
        <w:t>ing</w:t>
      </w:r>
      <w:r w:rsidRPr="00A93A6F">
        <w:rPr>
          <w:lang w:val="en-US"/>
        </w:rPr>
        <w:t xml:space="preserve"> that there is no final induced deformation </w:t>
      </w:r>
      <m:oMath>
        <m:sSub>
          <m:sSubPr>
            <m:ctrlPr>
              <w:rPr>
                <w:rFonts w:ascii="Cambria Math" w:hAnsi="Cambria Math"/>
                <w:lang w:val="en-US"/>
              </w:rPr>
            </m:ctrlPr>
          </m:sSubPr>
          <m:e>
            <m:r>
              <w:rPr>
                <w:rFonts w:ascii="Cambria Math" w:hAnsi="Cambria Math"/>
                <w:lang w:val="en-US"/>
              </w:rPr>
              <m:t>(γ</m:t>
            </m:r>
          </m:e>
          <m:sub>
            <m:r>
              <w:rPr>
                <w:rFonts w:ascii="Cambria Math" w:hAnsi="Cambria Math"/>
                <w:lang w:val="en-US"/>
              </w:rPr>
              <m:t>ind</m:t>
            </m:r>
          </m:sub>
        </m:sSub>
        <m:r>
          <w:rPr>
            <w:rFonts w:ascii="Cambria Math" w:hAnsi="Cambria Math"/>
            <w:lang w:val="en-US"/>
          </w:rPr>
          <m:t>=0)</m:t>
        </m:r>
      </m:oMath>
      <w:r w:rsidR="00756C8E" w:rsidRPr="00A93A6F" w:rsidDel="00BC3129">
        <w:rPr>
          <w:lang w:val="en-US"/>
        </w:rPr>
        <w:t xml:space="preserve"> </w:t>
      </w:r>
      <w:r w:rsidR="00756C8E" w:rsidRPr="00A93A6F">
        <w:rPr>
          <w:lang w:val="en-US"/>
        </w:rPr>
        <w:t>and no</w:t>
      </w:r>
      <w:r w:rsidRPr="00A93A6F">
        <w:rPr>
          <w:lang w:val="en-US"/>
        </w:rPr>
        <w:t xml:space="preserve"> effective fiber alignment (</w:t>
      </w:r>
      <w:r w:rsidRPr="00A93A6F">
        <w:rPr>
          <w:b/>
          <w:lang w:val="en-US"/>
        </w:rPr>
        <w:t>Figure 1.b</w:t>
      </w:r>
      <w:r w:rsidRPr="00A93A6F">
        <w:rPr>
          <w:lang w:val="en-US"/>
        </w:rPr>
        <w:t>).</w:t>
      </w:r>
    </w:p>
    <w:p w14:paraId="79DA84F2" w14:textId="523A6740" w:rsidR="00437BE5" w:rsidRPr="00A93A6F" w:rsidRDefault="002E2B07" w:rsidP="00437BE5">
      <w:pPr>
        <w:spacing w:line="360" w:lineRule="auto"/>
        <w:jc w:val="both"/>
        <w:rPr>
          <w:lang w:val="en-US"/>
        </w:rPr>
      </w:pPr>
      <w:bookmarkStart w:id="2" w:name="_Hlk102052399"/>
      <w:r w:rsidRPr="00A93A6F">
        <w:rPr>
          <w:lang w:val="en-US"/>
        </w:rPr>
        <w:t xml:space="preserve">In order to produce a network with a homogeneous fiber density </w:t>
      </w:r>
      <w:r w:rsidR="00437BE5" w:rsidRPr="00A93A6F">
        <w:rPr>
          <w:lang w:val="en-US"/>
        </w:rPr>
        <w:t xml:space="preserve">where alignment is retained, the </w:t>
      </w:r>
      <w:bookmarkEnd w:id="2"/>
      <w:r w:rsidR="00437BE5" w:rsidRPr="00A93A6F">
        <w:rPr>
          <w:lang w:val="en-US"/>
        </w:rPr>
        <w:t xml:space="preserve">initiation point </w:t>
      </w:r>
      <w:r w:rsidR="00665B61" w:rsidRPr="00A93A6F">
        <w:rPr>
          <w:lang w:val="en-US"/>
        </w:rPr>
        <w:t>has</w:t>
      </w:r>
      <w:r w:rsidR="00437BE5" w:rsidRPr="00A93A6F">
        <w:rPr>
          <w:lang w:val="en-US"/>
        </w:rPr>
        <w:t xml:space="preserve"> to be found between these two extremes, such that</w:t>
      </w:r>
      <m:oMath>
        <m:r>
          <w:rPr>
            <w:rFonts w:ascii="Cambria Math" w:hAnsi="Cambria Math"/>
            <w:lang w:val="en-US"/>
          </w:rPr>
          <m:t xml:space="preserve"> </m:t>
        </m:r>
        <m:sSub>
          <m:sSubPr>
            <m:ctrlPr>
              <w:rPr>
                <w:rFonts w:ascii="Cambria Math" w:hAnsi="Cambria Math"/>
                <w:lang w:val="en-US"/>
              </w:rPr>
            </m:ctrlPr>
          </m:sSubPr>
          <m:e>
            <m:r>
              <w:rPr>
                <w:rFonts w:ascii="Cambria Math" w:hAnsi="Cambria Math"/>
                <w:lang w:val="en-US"/>
              </w:rPr>
              <m:t>σ</m:t>
            </m:r>
          </m:e>
          <m:sub>
            <m:r>
              <w:rPr>
                <w:rFonts w:ascii="Cambria Math" w:hAnsi="Cambria Math"/>
                <w:lang w:val="en-US"/>
              </w:rPr>
              <m:t>app</m:t>
            </m:r>
          </m:sub>
        </m:sSub>
        <m:r>
          <w:rPr>
            <w:rFonts w:ascii="Cambria Math" w:hAnsi="Cambria Math"/>
            <w:lang w:val="en-US"/>
          </w:rPr>
          <m:t xml:space="preserve"> </m:t>
        </m:r>
      </m:oMath>
      <w:r w:rsidR="00437BE5" w:rsidRPr="00A93A6F">
        <w:rPr>
          <w:lang w:val="en-US"/>
        </w:rPr>
        <w:t xml:space="preserve">is slightly higher than </w:t>
      </w:r>
      <m:oMath>
        <m:sSub>
          <m:sSubPr>
            <m:ctrlPr>
              <w:rPr>
                <w:rFonts w:ascii="Cambria Math" w:hAnsi="Cambria Math"/>
                <w:lang w:val="en-US"/>
              </w:rPr>
            </m:ctrlPr>
          </m:sSubPr>
          <m:e>
            <m:r>
              <w:rPr>
                <w:rFonts w:ascii="Cambria Math" w:hAnsi="Cambria Math"/>
                <w:lang w:val="en-US"/>
              </w:rPr>
              <m:t>σ</m:t>
            </m:r>
          </m:e>
          <m:sub>
            <m:r>
              <w:rPr>
                <w:rFonts w:ascii="Cambria Math" w:hAnsi="Cambria Math"/>
                <w:lang w:val="en-US"/>
              </w:rPr>
              <m:t>yield</m:t>
            </m:r>
          </m:sub>
        </m:sSub>
        <m:d>
          <m:dPr>
            <m:ctrlPr>
              <w:rPr>
                <w:rFonts w:ascii="Cambria Math" w:hAnsi="Cambria Math"/>
                <w:i/>
                <w:lang w:val="en-US"/>
              </w:rPr>
            </m:ctrlPr>
          </m:dPr>
          <m:e>
            <m:r>
              <w:rPr>
                <w:rFonts w:ascii="Cambria Math" w:hAnsi="Cambria Math"/>
                <w:lang w:val="en-US"/>
              </w:rPr>
              <m:t>t</m:t>
            </m:r>
          </m:e>
        </m:d>
      </m:oMath>
      <w:r w:rsidR="00437BE5" w:rsidRPr="00A93A6F">
        <w:rPr>
          <w:lang w:val="en-US"/>
        </w:rPr>
        <w:t xml:space="preserve">, </w:t>
      </w:r>
      <m:oMath>
        <m:sSub>
          <m:sSubPr>
            <m:ctrlPr>
              <w:rPr>
                <w:rFonts w:ascii="Cambria Math" w:hAnsi="Cambria Math"/>
                <w:lang w:val="en-US"/>
              </w:rPr>
            </m:ctrlPr>
          </m:sSubPr>
          <m:e>
            <m:r>
              <w:rPr>
                <w:rFonts w:ascii="Cambria Math" w:hAnsi="Cambria Math"/>
                <w:lang w:val="en-US"/>
              </w:rPr>
              <m:t>σ</m:t>
            </m:r>
          </m:e>
          <m:sub>
            <m:r>
              <w:rPr>
                <w:rFonts w:ascii="Cambria Math" w:hAnsi="Cambria Math"/>
                <w:lang w:val="en-US"/>
              </w:rPr>
              <m:t>app</m:t>
            </m:r>
          </m:sub>
        </m:sSub>
        <m:r>
          <w:rPr>
            <w:rFonts w:ascii="Cambria Math" w:hAnsi="Cambria Math"/>
            <w:lang w:val="en-US"/>
          </w:rPr>
          <m:t xml:space="preserve"> ≳ </m:t>
        </m:r>
        <m:sSub>
          <m:sSubPr>
            <m:ctrlPr>
              <w:rPr>
                <w:rFonts w:ascii="Cambria Math" w:hAnsi="Cambria Math"/>
                <w:lang w:val="en-US"/>
              </w:rPr>
            </m:ctrlPr>
          </m:sSubPr>
          <m:e>
            <m:r>
              <w:rPr>
                <w:rFonts w:ascii="Cambria Math" w:hAnsi="Cambria Math"/>
                <w:lang w:val="en-US"/>
              </w:rPr>
              <m:t>σ</m:t>
            </m:r>
          </m:e>
          <m:sub>
            <m:r>
              <w:rPr>
                <w:rFonts w:ascii="Cambria Math" w:hAnsi="Cambria Math"/>
                <w:lang w:val="en-US"/>
              </w:rPr>
              <m:t>yield</m:t>
            </m:r>
          </m:sub>
        </m:sSub>
        <m:d>
          <m:dPr>
            <m:ctrlPr>
              <w:rPr>
                <w:rFonts w:ascii="Cambria Math" w:hAnsi="Cambria Math"/>
                <w:i/>
                <w:lang w:val="en-US"/>
              </w:rPr>
            </m:ctrlPr>
          </m:dPr>
          <m:e>
            <m:r>
              <w:rPr>
                <w:rFonts w:ascii="Cambria Math" w:hAnsi="Cambria Math"/>
                <w:lang w:val="en-US"/>
              </w:rPr>
              <m:t>t</m:t>
            </m:r>
          </m:e>
        </m:d>
      </m:oMath>
      <w:r w:rsidR="00437BE5" w:rsidRPr="00A93A6F">
        <w:rPr>
          <w:lang w:val="en-US"/>
        </w:rPr>
        <w:t xml:space="preserve">. In this case, the system will initially flow, but flow will cease when </w:t>
      </w:r>
      <m:oMath>
        <m:sSub>
          <m:sSubPr>
            <m:ctrlPr>
              <w:rPr>
                <w:rFonts w:ascii="Cambria Math" w:hAnsi="Cambria Math"/>
                <w:lang w:val="en-US"/>
              </w:rPr>
            </m:ctrlPr>
          </m:sSubPr>
          <m:e>
            <m:r>
              <w:rPr>
                <w:rFonts w:ascii="Cambria Math" w:hAnsi="Cambria Math"/>
                <w:lang w:val="en-US"/>
              </w:rPr>
              <m:t>σ</m:t>
            </m:r>
          </m:e>
          <m:sub>
            <m:r>
              <w:rPr>
                <w:rFonts w:ascii="Cambria Math" w:hAnsi="Cambria Math"/>
                <w:lang w:val="en-US"/>
              </w:rPr>
              <m:t>yield</m:t>
            </m:r>
          </m:sub>
        </m:sSub>
        <m:d>
          <m:dPr>
            <m:ctrlPr>
              <w:rPr>
                <w:rFonts w:ascii="Cambria Math" w:hAnsi="Cambria Math"/>
                <w:i/>
                <w:lang w:val="en-US"/>
              </w:rPr>
            </m:ctrlPr>
          </m:dPr>
          <m:e>
            <m:r>
              <w:rPr>
                <w:rFonts w:ascii="Cambria Math" w:hAnsi="Cambria Math"/>
                <w:lang w:val="en-US"/>
              </w:rPr>
              <m:t>t</m:t>
            </m:r>
          </m:e>
        </m:d>
        <m:r>
          <m:rPr>
            <m:sty m:val="p"/>
          </m:rPr>
          <w:rPr>
            <w:rFonts w:ascii="Cambria Math" w:hAnsi="Cambria Math"/>
            <w:lang w:val="en-US"/>
          </w:rPr>
          <m:t>&gt;</m:t>
        </m:r>
        <m:sSub>
          <m:sSubPr>
            <m:ctrlPr>
              <w:rPr>
                <w:rFonts w:ascii="Cambria Math" w:hAnsi="Cambria Math"/>
                <w:lang w:val="en-US"/>
              </w:rPr>
            </m:ctrlPr>
          </m:sSubPr>
          <m:e>
            <m:r>
              <w:rPr>
                <w:rFonts w:ascii="Cambria Math" w:hAnsi="Cambria Math"/>
                <w:lang w:val="en-US"/>
              </w:rPr>
              <m:t>σ</m:t>
            </m:r>
          </m:e>
          <m:sub>
            <m:r>
              <w:rPr>
                <w:rFonts w:ascii="Cambria Math" w:hAnsi="Cambria Math"/>
                <w:lang w:val="en-US"/>
              </w:rPr>
              <m:t>app</m:t>
            </m:r>
          </m:sub>
        </m:sSub>
      </m:oMath>
      <w:r w:rsidR="00437BE5" w:rsidRPr="00A93A6F">
        <w:rPr>
          <w:lang w:val="en-US"/>
        </w:rPr>
        <w:t xml:space="preserve">, as </w:t>
      </w:r>
      <m:oMath>
        <m:sSub>
          <m:sSubPr>
            <m:ctrlPr>
              <w:rPr>
                <w:rFonts w:ascii="Cambria Math" w:hAnsi="Cambria Math"/>
                <w:lang w:val="en-US"/>
              </w:rPr>
            </m:ctrlPr>
          </m:sSubPr>
          <m:e>
            <m:r>
              <w:rPr>
                <w:rFonts w:ascii="Cambria Math" w:hAnsi="Cambria Math"/>
                <w:lang w:val="en-US"/>
              </w:rPr>
              <m:t>σ</m:t>
            </m:r>
          </m:e>
          <m:sub>
            <m:r>
              <w:rPr>
                <w:rFonts w:ascii="Cambria Math" w:hAnsi="Cambria Math"/>
                <w:lang w:val="en-US"/>
              </w:rPr>
              <m:t>yield</m:t>
            </m:r>
          </m:sub>
        </m:sSub>
        <m:d>
          <m:dPr>
            <m:ctrlPr>
              <w:rPr>
                <w:rFonts w:ascii="Cambria Math" w:hAnsi="Cambria Math"/>
                <w:i/>
                <w:lang w:val="en-US"/>
              </w:rPr>
            </m:ctrlPr>
          </m:dPr>
          <m:e>
            <m:r>
              <w:rPr>
                <w:rFonts w:ascii="Cambria Math" w:hAnsi="Cambria Math"/>
                <w:lang w:val="en-US"/>
              </w:rPr>
              <m:t>t</m:t>
            </m:r>
          </m:e>
        </m:d>
      </m:oMath>
      <w:r w:rsidR="00437BE5" w:rsidRPr="00A93A6F">
        <w:rPr>
          <w:lang w:val="en-US"/>
        </w:rPr>
        <w:t xml:space="preserve"> increases over time during solidification. The sample </w:t>
      </w:r>
      <w:r w:rsidR="00102379" w:rsidRPr="00A93A6F">
        <w:rPr>
          <w:lang w:val="en-US"/>
        </w:rPr>
        <w:t xml:space="preserve">will be able to </w:t>
      </w:r>
      <w:r w:rsidR="00437BE5" w:rsidRPr="00A93A6F">
        <w:rPr>
          <w:lang w:val="en-US"/>
        </w:rPr>
        <w:t xml:space="preserve">partially recoil to a final </w:t>
      </w:r>
      <m:oMath>
        <m:sSub>
          <m:sSubPr>
            <m:ctrlPr>
              <w:rPr>
                <w:rFonts w:ascii="Cambria Math" w:hAnsi="Cambria Math"/>
                <w:lang w:val="en-US"/>
              </w:rPr>
            </m:ctrlPr>
          </m:sSubPr>
          <m:e>
            <m:r>
              <w:rPr>
                <w:rFonts w:ascii="Cambria Math" w:hAnsi="Cambria Math"/>
                <w:lang w:val="en-US"/>
              </w:rPr>
              <m:t>γ</m:t>
            </m:r>
          </m:e>
          <m:sub>
            <m:r>
              <w:rPr>
                <w:rFonts w:ascii="Cambria Math" w:hAnsi="Cambria Math"/>
                <w:lang w:val="en-US"/>
              </w:rPr>
              <m:t>ind</m:t>
            </m:r>
          </m:sub>
        </m:sSub>
        <m:r>
          <w:rPr>
            <w:rFonts w:ascii="Cambria Math" w:hAnsi="Cambria Math"/>
            <w:lang w:val="en-US"/>
          </w:rPr>
          <m:t>&gt;0</m:t>
        </m:r>
      </m:oMath>
      <w:r w:rsidR="00437BE5" w:rsidRPr="00A93A6F">
        <w:rPr>
          <w:lang w:val="en-US"/>
        </w:rPr>
        <w:t xml:space="preserve">, but the stability and homogeneity in terms of alignment and fiber density of the 3D hydrogel </w:t>
      </w:r>
      <w:r w:rsidR="00102379" w:rsidRPr="00A93A6F">
        <w:rPr>
          <w:lang w:val="en-US"/>
        </w:rPr>
        <w:t xml:space="preserve">will be </w:t>
      </w:r>
      <w:r w:rsidR="00437BE5" w:rsidRPr="00A93A6F">
        <w:rPr>
          <w:lang w:val="en-US"/>
        </w:rPr>
        <w:t>retained (</w:t>
      </w:r>
      <w:r w:rsidR="00437BE5" w:rsidRPr="00A93A6F">
        <w:rPr>
          <w:b/>
          <w:lang w:val="en-US"/>
        </w:rPr>
        <w:t>Figure 1.b</w:t>
      </w:r>
      <w:r w:rsidR="00437BE5" w:rsidRPr="00A93A6F">
        <w:rPr>
          <w:lang w:val="en-US"/>
        </w:rPr>
        <w:t xml:space="preserve">). </w:t>
      </w:r>
    </w:p>
    <w:p w14:paraId="4F2B2EC0" w14:textId="01FD129D" w:rsidR="00437BE5" w:rsidRPr="00A93A6F" w:rsidRDefault="00437BE5" w:rsidP="00437BE5">
      <w:pPr>
        <w:spacing w:line="360" w:lineRule="auto"/>
        <w:jc w:val="both"/>
        <w:rPr>
          <w:lang w:val="en-US"/>
        </w:rPr>
      </w:pPr>
      <w:r w:rsidRPr="00A93A6F">
        <w:rPr>
          <w:lang w:val="en-US"/>
        </w:rPr>
        <w:t xml:space="preserve">The two essential questions that need to be addressed in order to obtain a sufficiently high </w:t>
      </w:r>
      <m:oMath>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ind</m:t>
            </m:r>
          </m:sub>
        </m:sSub>
      </m:oMath>
      <w:r w:rsidRPr="00A93A6F">
        <w:rPr>
          <w:lang w:val="en-US"/>
        </w:rPr>
        <w:t xml:space="preserve"> are therefore: (</w:t>
      </w:r>
      <w:bookmarkStart w:id="3" w:name="_Hlk102050874"/>
      <w:r w:rsidR="002E2B07" w:rsidRPr="00A93A6F">
        <w:rPr>
          <w:lang w:val="en-US"/>
        </w:rPr>
        <w:t xml:space="preserve">1) how to determine the optimal initiation point to apply the stress </w:t>
      </w:r>
      <m:oMath>
        <m:sSub>
          <m:sSubPr>
            <m:ctrlPr>
              <w:rPr>
                <w:rFonts w:ascii="Cambria Math" w:hAnsi="Cambria Math"/>
                <w:lang w:val="en-US"/>
              </w:rPr>
            </m:ctrlPr>
          </m:sSubPr>
          <m:e>
            <m:r>
              <w:rPr>
                <w:rFonts w:ascii="Cambria Math" w:hAnsi="Cambria Math"/>
                <w:lang w:val="en-US"/>
              </w:rPr>
              <m:t>σ</m:t>
            </m:r>
          </m:e>
          <m:sub>
            <m:r>
              <w:rPr>
                <w:rFonts w:ascii="Cambria Math" w:hAnsi="Cambria Math"/>
                <w:lang w:val="en-US"/>
              </w:rPr>
              <m:t>app</m:t>
            </m:r>
          </m:sub>
        </m:sSub>
        <m:r>
          <w:rPr>
            <w:rFonts w:ascii="Cambria Math" w:hAnsi="Cambria Math"/>
            <w:lang w:val="en-US"/>
          </w:rPr>
          <m:t>,</m:t>
        </m:r>
      </m:oMath>
      <w:r w:rsidR="002E2B07" w:rsidRPr="00A93A6F">
        <w:rPr>
          <w:lang w:val="en-US"/>
        </w:rPr>
        <w:t xml:space="preserve"> and (2) which stress magnitude, </w:t>
      </w:r>
      <m:oMath>
        <m:sSub>
          <m:sSubPr>
            <m:ctrlPr>
              <w:rPr>
                <w:rFonts w:ascii="Cambria Math" w:hAnsi="Cambria Math"/>
                <w:lang w:val="en-US"/>
              </w:rPr>
            </m:ctrlPr>
          </m:sSubPr>
          <m:e>
            <m:r>
              <w:rPr>
                <w:rFonts w:ascii="Cambria Math" w:hAnsi="Cambria Math"/>
                <w:lang w:val="en-US"/>
              </w:rPr>
              <m:t>σ</m:t>
            </m:r>
          </m:e>
          <m:sub>
            <m:r>
              <w:rPr>
                <w:rFonts w:ascii="Cambria Math" w:hAnsi="Cambria Math"/>
                <w:lang w:val="en-US"/>
              </w:rPr>
              <m:t>app</m:t>
            </m:r>
          </m:sub>
        </m:sSub>
        <m:r>
          <w:rPr>
            <w:rFonts w:ascii="Cambria Math" w:hAnsi="Cambria Math"/>
            <w:lang w:val="en-US"/>
          </w:rPr>
          <m:t>,</m:t>
        </m:r>
      </m:oMath>
      <w:r w:rsidR="002E2B07" w:rsidRPr="00A93A6F">
        <w:rPr>
          <w:lang w:val="en-US"/>
        </w:rPr>
        <w:t xml:space="preserve"> is needed to obtain a satisfactory </w:t>
      </w:r>
      <m:oMath>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ind</m:t>
            </m:r>
          </m:sub>
        </m:sSub>
      </m:oMath>
      <w:r w:rsidR="002E2B07" w:rsidRPr="00A93A6F">
        <w:rPr>
          <w:lang w:val="en-US"/>
        </w:rPr>
        <w:t xml:space="preserve">. </w:t>
      </w:r>
      <w:r w:rsidRPr="00A93A6F">
        <w:rPr>
          <w:lang w:val="en-US"/>
        </w:rPr>
        <w:t>Determining the optimal initiation point to start shearing is not straightforward because gelation is a non-linear process</w:t>
      </w:r>
      <w:bookmarkEnd w:id="3"/>
      <w:r w:rsidRPr="00A93A6F">
        <w:rPr>
          <w:lang w:val="en-US"/>
        </w:rPr>
        <w:t>, intrinsically prone to fluctuation</w:t>
      </w:r>
      <w:r w:rsidR="00102379" w:rsidRPr="00A93A6F">
        <w:rPr>
          <w:lang w:val="en-US"/>
        </w:rPr>
        <w:t>s</w:t>
      </w:r>
      <w:r w:rsidRPr="00A93A6F">
        <w:rPr>
          <w:lang w:val="en-US"/>
        </w:rPr>
        <w:t xml:space="preserve"> due to environmental changes (</w:t>
      </w:r>
      <w:r w:rsidRPr="00A93A6F">
        <w:rPr>
          <w:i/>
          <w:iCs/>
          <w:lang w:val="en-US"/>
        </w:rPr>
        <w:t>e.g.</w:t>
      </w:r>
      <w:r w:rsidRPr="00A93A6F">
        <w:rPr>
          <w:lang w:val="en-US"/>
        </w:rPr>
        <w:t xml:space="preserve"> humidity, temperature, etc.) and/or small changes in concentration </w:t>
      </w:r>
      <w:r w:rsidRPr="00A93A6F">
        <w:rPr>
          <w:lang w:val="en-US"/>
        </w:rPr>
        <w:fldChar w:fldCharType="begin" w:fldLock="1"/>
      </w:r>
      <w:r w:rsidR="00ED1620" w:rsidRPr="00A93A6F">
        <w:rPr>
          <w:lang w:val="en-US"/>
        </w:rPr>
        <w:instrText>ADDIN CSL_CITATION { "citationItems" : [ { "id" : "ITEM-1", "itemData" : { "DOI" : "10.1371/journal.pone.0118021", "ISSN" : "19326203", "PMID" : "25734484", "abstract" : "Disordered fiber networks provide structural support to a wide range of important materials, and the combination of spatial and dynamic complexity may produce large inhomogeneities in mechanical properties, an effect that is largely unexplored experimentally. In this work, we introduce Boundary Stress Microscopy to quantify the non-uniform surface stresses in sheared collagen gels. We find local stresses exceeding average stresses by an order of magnitude, with variations over length scales much larger than the network mesh size. The strain stiffening behavior observed over a wide range of network mesh sizes can be parameterized by a single characteristic strain and associated stress, which describes both the strain stiffening regime and network yielding. The characteristic stress is approximately proportional to network density, but the peak boundary stress at both the characteristic strain and at yielding are remarkably insensitive to concentration.", "author" : [ { "dropping-particle" : "", "family" : "Arevalo", "given" : "Richard C.", "non-dropping-particle" : "", "parse-names" : false, "suffix" : "" }, { "dropping-particle" : "", "family" : "Kumar", "given" : "Pramukta", "non-dropping-particle" : "", "parse-names" : false, "suffix" : "" }, { "dropping-particle" : "", "family" : "Urbach", "given" : "Jeffrey S.", "non-dropping-particle" : "", "parse-names" : false, "suffix" : "" }, { "dropping-particle" : "", "family" : "Blair", "given" : "Daniel L.", "non-dropping-particle" : "", "parse-names" : false, "suffix" : "" } ], "container-title" : "PLoS ONE", "id" : "ITEM-1", "issue" : "3", "issued" : { "date-parts" : [ [ "2015", "3", "3" ] ] }, "publisher" : "Public Library of Science", "title" : "Stress heterogeneities in sheared type-i collagen networks revealed by boundary stress microscopy", "type" : "article-journal", "volume" : "10" }, "uris" : [ "http://www.mendeley.com/documents/?uuid=534380e3-4204-352a-8d9f-9cc51e60976f" ] } ], "mendeley" : { "formattedCitation" : "[42]", "plainTextFormattedCitation" : "[42]", "previouslyFormattedCitation" : "[42]" }, "properties" : { "noteIndex" : 0 }, "schema" : "https://github.com/citation-style-language/schema/raw/master/csl-citation.json" }</w:instrText>
      </w:r>
      <w:r w:rsidRPr="00A93A6F">
        <w:rPr>
          <w:lang w:val="en-US"/>
        </w:rPr>
        <w:fldChar w:fldCharType="separate"/>
      </w:r>
      <w:r w:rsidR="00ED1620" w:rsidRPr="00A93A6F">
        <w:rPr>
          <w:noProof/>
          <w:lang w:val="en-US"/>
        </w:rPr>
        <w:t>[42]</w:t>
      </w:r>
      <w:r w:rsidRPr="00A93A6F">
        <w:rPr>
          <w:lang w:val="en-US"/>
        </w:rPr>
        <w:fldChar w:fldCharType="end"/>
      </w:r>
      <w:r w:rsidRPr="00A93A6F">
        <w:rPr>
          <w:lang w:val="en-US"/>
        </w:rPr>
        <w:fldChar w:fldCharType="begin" w:fldLock="1"/>
      </w:r>
      <w:r w:rsidR="00ED1620" w:rsidRPr="00A93A6F">
        <w:rPr>
          <w:lang w:val="en-US"/>
        </w:rPr>
        <w:instrText>ADDIN CSL_CITATION { "citationItems" : [ { "id" : "ITEM-1", "itemData" : { "DOI" : "10.1038/nphys3628", "ISSN" : "17452481", "abstract" : "Disordered fibrous networks are ubiquitous in nature as major structural components of living cells and tissues. The mechanical stability of networks generally depends on the degree of connectivity: only when the average number of connections between nodes exceeds the isostatic threshold are networks stable. On increasing the connectivity through this point, such networks undergo a mechanical phase transition from a floppy to a rigid phase. However, even sub-isostatic networks become rigid when subjected to sufficiently large deformations. To study this strain-controlled transition, we perform a combination of computational modelling of fibre networks and experiments on networks of type I collagen fibres, which are crucial for the integrity of biological tissues. We show theoretically that the development of rigidity is characterized by a strain-controlled continuous phase transition with signatures of criticality. Our experiments demonstrate mechanical properties consistent with our model, including the predicted critical exponents. We show that the nonlinear mechanics of collagen networks can be quantitatively captured by the predictions of scaling theory for the strain-controlled critical behaviour over a wide range of network concentrations and strains up to failure of the material.", "author" : [ { "dropping-particle" : "", "family" : "Sharma", "given" : "A.", "non-dropping-particle" : "", "parse-names" : false, "suffix" : "" }, { "dropping-particle" : "", "family" : "Licup", "given" : "A. J.", "non-dropping-particle" : "", "parse-names" : false, "suffix" : "" }, { "dropping-particle" : "", "family" : "Jansen", "given" : "K. A.", "non-dropping-particle" : "", "parse-names" : false, "suffix" : "" }, { "dropping-particle" : "", "family" : "Rens", "given" : "R.", "non-dropping-particle" : "", "parse-names" : false, "suffix" : "" }, { "dropping-particle" : "", "family" : "Sheinman", "given" : "M.", "non-dropping-particle" : "", "parse-names" : false, "suffix" : "" }, { "dropping-particle" : "", "family" : "Koenderink", "given" : "G. H.", "non-dropping-particle" : "", "parse-names" : false, "suffix" : "" }, { "dropping-particle" : "", "family" : "Mackintosh", "given" : "F. C.", "non-dropping-particle" : "", "parse-names" : false, "suffix" : "" } ], "container-title" : "Nature Physics", "id" : "ITEM-1", "issue" : "6", "issued" : { "date-parts" : [ [ "2016", "6", "1" ] ] }, "page" : "584-587", "publisher" : "Nature Publishing Group", "title" : "Strain-controlled criticality governs the nonlinear mechanics of fibre networks", "type" : "article-journal", "volume" : "12" }, "uris" : [ "http://www.mendeley.com/documents/?uuid=b2de8256-96d4-3f88-be26-9ec2c5a58ad6" ] } ], "mendeley" : { "formattedCitation" : "[43]", "plainTextFormattedCitation" : "[43]", "previouslyFormattedCitation" : "[43]" }, "properties" : { "noteIndex" : 0 }, "schema" : "https://github.com/citation-style-language/schema/raw/master/csl-citation.json" }</w:instrText>
      </w:r>
      <w:r w:rsidRPr="00A93A6F">
        <w:rPr>
          <w:lang w:val="en-US"/>
        </w:rPr>
        <w:fldChar w:fldCharType="separate"/>
      </w:r>
      <w:r w:rsidR="00ED1620" w:rsidRPr="00A93A6F">
        <w:rPr>
          <w:noProof/>
          <w:lang w:val="en-US"/>
        </w:rPr>
        <w:t>[43]</w:t>
      </w:r>
      <w:r w:rsidRPr="00A93A6F">
        <w:rPr>
          <w:lang w:val="en-US"/>
        </w:rPr>
        <w:fldChar w:fldCharType="end"/>
      </w:r>
      <w:r w:rsidRPr="00A93A6F">
        <w:rPr>
          <w:lang w:val="en-US"/>
        </w:rPr>
        <w:t xml:space="preserve"> (</w:t>
      </w:r>
      <w:r w:rsidRPr="00A93A6F">
        <w:rPr>
          <w:b/>
          <w:bCs/>
          <w:lang w:val="en-US"/>
        </w:rPr>
        <w:t>Figure 1.a</w:t>
      </w:r>
      <w:r w:rsidRPr="00A93A6F">
        <w:rPr>
          <w:lang w:val="en-US"/>
        </w:rPr>
        <w:t>). Applying</w:t>
      </w:r>
      <m:oMath>
        <m:r>
          <w:rPr>
            <w:rFonts w:ascii="Cambria Math" w:hAnsi="Cambria Math"/>
            <w:lang w:val="en-US"/>
          </w:rPr>
          <m:t xml:space="preserve"> </m:t>
        </m:r>
        <m:sSub>
          <m:sSubPr>
            <m:ctrlPr>
              <w:rPr>
                <w:rFonts w:ascii="Cambria Math" w:hAnsi="Cambria Math"/>
                <w:lang w:val="en-US"/>
              </w:rPr>
            </m:ctrlPr>
          </m:sSubPr>
          <m:e>
            <m:r>
              <w:rPr>
                <w:rFonts w:ascii="Cambria Math" w:hAnsi="Cambria Math"/>
                <w:lang w:val="en-US"/>
              </w:rPr>
              <m:t>σ</m:t>
            </m:r>
          </m:e>
          <m:sub>
            <m:r>
              <w:rPr>
                <w:rFonts w:ascii="Cambria Math" w:hAnsi="Cambria Math"/>
                <w:lang w:val="en-US"/>
              </w:rPr>
              <m:t>app</m:t>
            </m:r>
          </m:sub>
        </m:sSub>
        <m:r>
          <w:rPr>
            <w:rFonts w:ascii="Cambria Math" w:hAnsi="Cambria Math"/>
            <w:lang w:val="en-US"/>
          </w:rPr>
          <m:t xml:space="preserve"> </m:t>
        </m:r>
      </m:oMath>
      <w:r w:rsidRPr="00A93A6F">
        <w:rPr>
          <w:lang w:val="en-US"/>
        </w:rPr>
        <w:t xml:space="preserve">at a predefined moment in time therefore results in limited predictability of the obtained deformation, as the yield stress, </w:t>
      </w:r>
      <m:oMath>
        <m:sSub>
          <m:sSubPr>
            <m:ctrlPr>
              <w:rPr>
                <w:rFonts w:ascii="Cambria Math" w:hAnsi="Cambria Math"/>
                <w:lang w:val="en-US"/>
              </w:rPr>
            </m:ctrlPr>
          </m:sSubPr>
          <m:e>
            <m:r>
              <w:rPr>
                <w:rFonts w:ascii="Cambria Math" w:hAnsi="Cambria Math"/>
                <w:lang w:val="en-US"/>
              </w:rPr>
              <m:t>σ</m:t>
            </m:r>
          </m:e>
          <m:sub>
            <m:r>
              <w:rPr>
                <w:rFonts w:ascii="Cambria Math" w:hAnsi="Cambria Math"/>
                <w:lang w:val="en-US"/>
              </w:rPr>
              <m:t>yield</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oMath>
      <w:r w:rsidRPr="00A93A6F">
        <w:rPr>
          <w:lang w:val="en-US"/>
        </w:rPr>
        <w:t xml:space="preserve"> varies between different samples. To solve this issue, </w:t>
      </w:r>
      <w:r w:rsidRPr="00A93A6F">
        <w:rPr>
          <w:lang w:val="en-US"/>
        </w:rPr>
        <w:lastRenderedPageBreak/>
        <w:t>the initiation point needs to be identified based on a parameter that characterizes the material state, for instance the shear modulus (</w:t>
      </w:r>
      <m:oMath>
        <m:d>
          <m:dPr>
            <m:begChr m:val="|"/>
            <m:endChr m:val="|"/>
            <m:ctrlPr>
              <w:rPr>
                <w:rFonts w:ascii="Cambria Math" w:hAnsi="Cambria Math"/>
                <w:lang w:val="en-US"/>
              </w:rPr>
            </m:ctrlPr>
          </m:dPr>
          <m:e>
            <m:sSup>
              <m:sSupPr>
                <m:ctrlPr>
                  <w:rPr>
                    <w:rFonts w:ascii="Cambria Math" w:hAnsi="Cambria Math"/>
                    <w:lang w:val="en-US"/>
                  </w:rPr>
                </m:ctrlPr>
              </m:sSupPr>
              <m:e>
                <m:r>
                  <w:rPr>
                    <w:rFonts w:ascii="Cambria Math" w:hAnsi="Cambria Math"/>
                    <w:lang w:val="en-US"/>
                  </w:rPr>
                  <m:t>G</m:t>
                </m:r>
              </m:e>
              <m:sup>
                <m:r>
                  <w:rPr>
                    <w:rFonts w:ascii="Cambria Math" w:hAnsi="Cambria Math"/>
                    <w:lang w:val="en-US"/>
                  </w:rPr>
                  <m:t>*</m:t>
                </m:r>
              </m:sup>
            </m:sSup>
            <m:d>
              <m:dPr>
                <m:ctrlPr>
                  <w:rPr>
                    <w:rFonts w:ascii="Cambria Math" w:hAnsi="Cambria Math"/>
                    <w:i/>
                    <w:lang w:val="en-US"/>
                  </w:rPr>
                </m:ctrlPr>
              </m:dPr>
              <m:e>
                <m:r>
                  <w:rPr>
                    <w:rFonts w:ascii="Cambria Math" w:hAnsi="Cambria Math"/>
                    <w:lang w:val="en-US"/>
                  </w:rPr>
                  <m:t>t</m:t>
                </m:r>
              </m:e>
            </m:d>
          </m:e>
        </m:d>
      </m:oMath>
      <w:r w:rsidRPr="00A93A6F">
        <w:rPr>
          <w:lang w:val="en-US"/>
        </w:rPr>
        <w:t xml:space="preserve">) at a given time </w:t>
      </w:r>
      <w:r w:rsidR="00FA0A75" w:rsidRPr="00A93A6F">
        <w:rPr>
          <w:lang w:val="en-US"/>
        </w:rPr>
        <w:t>point</w:t>
      </w:r>
      <w:r w:rsidRPr="00A93A6F">
        <w:rPr>
          <w:lang w:val="en-US"/>
        </w:rPr>
        <w:t xml:space="preserve">, which is a direct measure for </w:t>
      </w:r>
      <m:oMath>
        <m:sSub>
          <m:sSubPr>
            <m:ctrlPr>
              <w:rPr>
                <w:rFonts w:ascii="Cambria Math" w:hAnsi="Cambria Math"/>
                <w:lang w:val="en-US"/>
              </w:rPr>
            </m:ctrlPr>
          </m:sSubPr>
          <m:e>
            <m:r>
              <w:rPr>
                <w:rFonts w:ascii="Cambria Math" w:hAnsi="Cambria Math"/>
                <w:lang w:val="en-US"/>
              </w:rPr>
              <m:t>σ</m:t>
            </m:r>
          </m:e>
          <m:sub>
            <m:r>
              <w:rPr>
                <w:rFonts w:ascii="Cambria Math" w:hAnsi="Cambria Math"/>
                <w:lang w:val="en-US"/>
              </w:rPr>
              <m:t>yield</m:t>
            </m:r>
          </m:sub>
        </m:sSub>
        <m:d>
          <m:dPr>
            <m:ctrlPr>
              <w:rPr>
                <w:rFonts w:ascii="Cambria Math" w:hAnsi="Cambria Math"/>
                <w:i/>
                <w:lang w:val="en-US"/>
              </w:rPr>
            </m:ctrlPr>
          </m:dPr>
          <m:e>
            <m:r>
              <w:rPr>
                <w:rFonts w:ascii="Cambria Math" w:hAnsi="Cambria Math"/>
                <w:lang w:val="en-US"/>
              </w:rPr>
              <m:t>t</m:t>
            </m:r>
          </m:e>
        </m:d>
      </m:oMath>
      <w:r w:rsidRPr="00A93A6F">
        <w:rPr>
          <w:lang w:val="en-US"/>
        </w:rPr>
        <w:t xml:space="preserve"> </w:t>
      </w:r>
      <w:r w:rsidRPr="00A93A6F">
        <w:rPr>
          <w:lang w:val="en-US"/>
        </w:rPr>
        <w:fldChar w:fldCharType="begin" w:fldLock="1"/>
      </w:r>
      <w:r w:rsidR="00ED1620" w:rsidRPr="00A93A6F">
        <w:rPr>
          <w:lang w:val="en-US"/>
        </w:rPr>
        <w:instrText>ADDIN CSL_CITATION { "citationItems" : [ { "id" : "ITEM-1", "itemData" : { "ISBN" : "UCRL-MA-106439", "abstract" : "This document is a subset of an equation-of-state (EOS) and material properties library that has been under development at Lawrence Livermore National Laboratory for over 20 years. I have included here information on various elemental metals and alloys, plastics, and miscellaneous materials. Lithium fluoride and tungsten carbide are included because they are often used in gas-gun experiments-the former as a window, and the latter as the back-half of a two-stage flyer. I have endeavored to ensure this work reflects the most up-to-date information. Nevertheless, the accuracy and reliability is different for each material, with some being backed by large and consistent data bases, while others contain parameters that may be merely estimates. Readers interested in the provenance of any parameter here are welcome to contact me and, in addition, are urged to apprise me if they believe there are any errors or if they have more recent data or information. This compendium is meant to be an ongoing document. At appropriate intervals. I intend to issue updates that will include new materials as well as improved information for existing materials. Furthermore, the constitutive model for tungsten carbide is not state-of-the-art. I have constructed a model applicable to ceramics and have parameterized it for a number of such materials. I intend to add this work to the compendium in the near future. Many people have contributed to this work over the years. I would like to particularly thank Drs. David Banner, Stephen Cochran, Carl Lund, Richard Sharp, and most especially Dr. Michael Guinan, who has been my colleague and mentor, and without whom this project would not have reached fruition.", "author" : [ { "dropping-particle" : "", "family" : "Steinberg", "given" : "Daniel J.", "non-dropping-particle" : "", "parse-names" : false, "suffix" : "" } ], "id" : "ITEM-1", "issued" : { "date-parts" : [ [ "1996" ] ] }, "number-of-pages" : "112", "publisher" : "Lawrence Livermore National Laboratory report", "title" : "Equation of state and strength properties of selected materials", "type" : "book" }, "uris" : [ "http://www.mendeley.com/documents/?uuid=48cc3943-b928-3f40-a76f-1548f522dc9b" ] } ], "mendeley" : { "formattedCitation" : "[44]", "plainTextFormattedCitation" : "[44]", "previouslyFormattedCitation" : "[44]" }, "properties" : { "noteIndex" : 0 }, "schema" : "https://github.com/citation-style-language/schema/raw/master/csl-citation.json" }</w:instrText>
      </w:r>
      <w:r w:rsidRPr="00A93A6F">
        <w:rPr>
          <w:lang w:val="en-US"/>
        </w:rPr>
        <w:fldChar w:fldCharType="separate"/>
      </w:r>
      <w:r w:rsidR="00ED1620" w:rsidRPr="00A93A6F">
        <w:rPr>
          <w:noProof/>
          <w:lang w:val="en-US"/>
        </w:rPr>
        <w:t>[44]</w:t>
      </w:r>
      <w:r w:rsidRPr="00A93A6F">
        <w:rPr>
          <w:lang w:val="en-US"/>
        </w:rPr>
        <w:fldChar w:fldCharType="end"/>
      </w:r>
      <w:r w:rsidRPr="00A93A6F">
        <w:rPr>
          <w:lang w:val="en-US"/>
        </w:rPr>
        <w:t>. To this end, a stress-controlled rheometer is employed that can apply a well-defined</w:t>
      </w:r>
      <m:oMath>
        <m:r>
          <w:rPr>
            <w:rFonts w:ascii="Cambria Math" w:hAnsi="Cambria Math"/>
            <w:lang w:val="en-US"/>
          </w:rPr>
          <m:t xml:space="preserve"> </m:t>
        </m:r>
        <m:sSub>
          <m:sSubPr>
            <m:ctrlPr>
              <w:rPr>
                <w:rFonts w:ascii="Cambria Math" w:hAnsi="Cambria Math"/>
                <w:lang w:val="en-US"/>
              </w:rPr>
            </m:ctrlPr>
          </m:sSubPr>
          <m:e>
            <m:r>
              <w:rPr>
                <w:rFonts w:ascii="Cambria Math" w:hAnsi="Cambria Math"/>
                <w:lang w:val="en-US"/>
              </w:rPr>
              <m:t>σ</m:t>
            </m:r>
          </m:e>
          <m:sub>
            <m:r>
              <w:rPr>
                <w:rFonts w:ascii="Cambria Math" w:hAnsi="Cambria Math"/>
                <w:lang w:val="en-US"/>
              </w:rPr>
              <m:t>app</m:t>
            </m:r>
          </m:sub>
        </m:sSub>
      </m:oMath>
      <w:r w:rsidRPr="00A93A6F">
        <w:rPr>
          <w:lang w:val="en-US"/>
        </w:rPr>
        <w:t xml:space="preserve"> and also measure </w:t>
      </w:r>
      <m:oMath>
        <m:d>
          <m:dPr>
            <m:begChr m:val="|"/>
            <m:endChr m:val="|"/>
            <m:ctrlPr>
              <w:rPr>
                <w:rFonts w:ascii="Cambria Math" w:hAnsi="Cambria Math"/>
                <w:lang w:val="en-US"/>
              </w:rPr>
            </m:ctrlPr>
          </m:dPr>
          <m:e>
            <m:sSup>
              <m:sSupPr>
                <m:ctrlPr>
                  <w:rPr>
                    <w:rFonts w:ascii="Cambria Math" w:hAnsi="Cambria Math"/>
                    <w:lang w:val="en-US"/>
                  </w:rPr>
                </m:ctrlPr>
              </m:sSupPr>
              <m:e>
                <m:r>
                  <w:rPr>
                    <w:rFonts w:ascii="Cambria Math" w:hAnsi="Cambria Math"/>
                    <w:lang w:val="en-US"/>
                  </w:rPr>
                  <m:t>G</m:t>
                </m:r>
              </m:e>
              <m:sup>
                <m:r>
                  <w:rPr>
                    <w:rFonts w:ascii="Cambria Math" w:hAnsi="Cambria Math"/>
                    <w:lang w:val="en-US"/>
                  </w:rPr>
                  <m:t>*</m:t>
                </m:r>
              </m:sup>
            </m:sSup>
            <m:d>
              <m:dPr>
                <m:ctrlPr>
                  <w:rPr>
                    <w:rFonts w:ascii="Cambria Math" w:hAnsi="Cambria Math"/>
                    <w:i/>
                    <w:lang w:val="en-US"/>
                  </w:rPr>
                </m:ctrlPr>
              </m:dPr>
              <m:e>
                <m:r>
                  <w:rPr>
                    <w:rFonts w:ascii="Cambria Math" w:hAnsi="Cambria Math"/>
                    <w:lang w:val="en-US"/>
                  </w:rPr>
                  <m:t>t</m:t>
                </m:r>
              </m:e>
            </m:d>
          </m:e>
        </m:d>
      </m:oMath>
      <w:r w:rsidRPr="00A93A6F">
        <w:rPr>
          <w:lang w:val="en-US"/>
        </w:rPr>
        <w:t xml:space="preserve"> </w:t>
      </w:r>
      <w:r w:rsidRPr="00A93A6F">
        <w:rPr>
          <w:i/>
          <w:iCs/>
          <w:lang w:val="en-US"/>
        </w:rPr>
        <w:t>in situ</w:t>
      </w:r>
      <w:r w:rsidRPr="00A93A6F">
        <w:rPr>
          <w:lang w:val="en-US"/>
        </w:rPr>
        <w:t xml:space="preserve"> as a function of time (see section 2.3). In this way, the initiation point, where</w:t>
      </w:r>
      <m:oMath>
        <m:r>
          <w:rPr>
            <w:rFonts w:ascii="Cambria Math" w:hAnsi="Cambria Math"/>
            <w:lang w:val="en-US"/>
          </w:rPr>
          <m:t xml:space="preserve"> </m:t>
        </m:r>
        <m:sSub>
          <m:sSubPr>
            <m:ctrlPr>
              <w:rPr>
                <w:rFonts w:ascii="Cambria Math" w:hAnsi="Cambria Math"/>
                <w:lang w:val="en-US"/>
              </w:rPr>
            </m:ctrlPr>
          </m:sSubPr>
          <m:e>
            <m:r>
              <w:rPr>
                <w:rFonts w:ascii="Cambria Math" w:hAnsi="Cambria Math"/>
                <w:lang w:val="en-US"/>
              </w:rPr>
              <m:t>σ</m:t>
            </m:r>
          </m:e>
          <m:sub>
            <m:r>
              <w:rPr>
                <w:rFonts w:ascii="Cambria Math" w:hAnsi="Cambria Math"/>
                <w:lang w:val="en-US"/>
              </w:rPr>
              <m:t>app</m:t>
            </m:r>
          </m:sub>
        </m:sSub>
        <m:r>
          <w:rPr>
            <w:rFonts w:ascii="Cambria Math" w:hAnsi="Cambria Math"/>
            <w:lang w:val="en-US"/>
          </w:rPr>
          <m:t xml:space="preserve"> </m:t>
        </m:r>
      </m:oMath>
      <w:r w:rsidRPr="00A93A6F">
        <w:rPr>
          <w:lang w:val="en-US"/>
        </w:rPr>
        <w:t xml:space="preserve">is applied, is the moment at which </w:t>
      </w:r>
      <m:oMath>
        <m:d>
          <m:dPr>
            <m:begChr m:val="|"/>
            <m:endChr m:val="|"/>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G</m:t>
                </m:r>
              </m:e>
              <m:sup>
                <m:r>
                  <w:rPr>
                    <w:rFonts w:ascii="Cambria Math" w:hAnsi="Cambria Math"/>
                    <w:lang w:val="en-US"/>
                  </w:rPr>
                  <m:t>*</m:t>
                </m:r>
              </m:sup>
            </m:sSup>
            <m:d>
              <m:dPr>
                <m:ctrlPr>
                  <w:rPr>
                    <w:rFonts w:ascii="Cambria Math" w:hAnsi="Cambria Math"/>
                    <w:i/>
                    <w:lang w:val="en-US"/>
                  </w:rPr>
                </m:ctrlPr>
              </m:dPr>
              <m:e>
                <m:r>
                  <w:rPr>
                    <w:rFonts w:ascii="Cambria Math" w:hAnsi="Cambria Math"/>
                    <w:lang w:val="en-US"/>
                  </w:rPr>
                  <m:t>t</m:t>
                </m:r>
              </m:e>
            </m:d>
          </m:e>
        </m:d>
      </m:oMath>
      <w:r w:rsidRPr="00A93A6F">
        <w:rPr>
          <w:lang w:val="en-US"/>
        </w:rPr>
        <w:t xml:space="preserve"> reaches a pre-defined value (</w:t>
      </w:r>
      <m:oMath>
        <m:d>
          <m:dPr>
            <m:begChr m:val="|"/>
            <m:endChr m:val="|"/>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G</m:t>
                </m:r>
              </m:e>
              <m:sub>
                <m:r>
                  <w:rPr>
                    <w:rFonts w:ascii="Cambria Math" w:hAnsi="Cambria Math"/>
                    <w:lang w:val="en-US"/>
                  </w:rPr>
                  <m:t>s</m:t>
                </m:r>
              </m:sub>
              <m:sup>
                <m:r>
                  <w:rPr>
                    <w:rFonts w:ascii="Cambria Math" w:hAnsi="Cambria Math"/>
                    <w:lang w:val="en-US"/>
                  </w:rPr>
                  <m:t>*</m:t>
                </m:r>
              </m:sup>
            </m:sSubSup>
          </m:e>
        </m:d>
      </m:oMath>
      <w:r w:rsidRPr="00A93A6F">
        <w:rPr>
          <w:lang w:val="en-US"/>
        </w:rPr>
        <w:t>). Thus, we have tw</w:t>
      </w:r>
      <w:r w:rsidR="00756C8E" w:rsidRPr="00A93A6F">
        <w:rPr>
          <w:lang w:val="en-US"/>
        </w:rPr>
        <w:t>o control parameters, namely</w:t>
      </w:r>
      <m:oMath>
        <m:r>
          <w:rPr>
            <w:rFonts w:ascii="Cambria Math" w:hAnsi="Cambria Math"/>
            <w:lang w:val="en-US"/>
          </w:rPr>
          <m:t xml:space="preserve"> </m:t>
        </m:r>
        <m:sSub>
          <m:sSubPr>
            <m:ctrlPr>
              <w:rPr>
                <w:rFonts w:ascii="Cambria Math" w:hAnsi="Cambria Math"/>
                <w:lang w:val="en-US"/>
              </w:rPr>
            </m:ctrlPr>
          </m:sSubPr>
          <m:e>
            <m:r>
              <w:rPr>
                <w:rFonts w:ascii="Cambria Math" w:hAnsi="Cambria Math"/>
                <w:lang w:val="en-US"/>
              </w:rPr>
              <m:t>σ</m:t>
            </m:r>
          </m:e>
          <m:sub>
            <m:r>
              <w:rPr>
                <w:rFonts w:ascii="Cambria Math" w:hAnsi="Cambria Math"/>
                <w:lang w:val="en-US"/>
              </w:rPr>
              <m:t>app</m:t>
            </m:r>
          </m:sub>
        </m:sSub>
        <m:r>
          <w:rPr>
            <w:rFonts w:ascii="Cambria Math" w:hAnsi="Cambria Math"/>
            <w:lang w:val="en-US"/>
          </w:rPr>
          <m:t xml:space="preserve"> </m:t>
        </m:r>
      </m:oMath>
      <w:r w:rsidRPr="00A93A6F">
        <w:rPr>
          <w:lang w:val="en-US"/>
        </w:rPr>
        <w:t xml:space="preserve"> and </w:t>
      </w:r>
      <m:oMath>
        <m:d>
          <m:dPr>
            <m:begChr m:val="|"/>
            <m:endChr m:val="|"/>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G</m:t>
                </m:r>
              </m:e>
              <m:sup>
                <m:r>
                  <w:rPr>
                    <w:rFonts w:ascii="Cambria Math" w:hAnsi="Cambria Math"/>
                    <w:lang w:val="en-US"/>
                  </w:rPr>
                  <m:t>*</m:t>
                </m:r>
              </m:sup>
            </m:sSup>
            <m:d>
              <m:dPr>
                <m:ctrlPr>
                  <w:rPr>
                    <w:rFonts w:ascii="Cambria Math" w:hAnsi="Cambria Math"/>
                    <w:i/>
                    <w:lang w:val="en-US"/>
                  </w:rPr>
                </m:ctrlPr>
              </m:dPr>
              <m:e>
                <m:r>
                  <w:rPr>
                    <w:rFonts w:ascii="Cambria Math" w:hAnsi="Cambria Math"/>
                    <w:lang w:val="en-US"/>
                  </w:rPr>
                  <m:t>t</m:t>
                </m:r>
              </m:e>
            </m:d>
          </m:e>
        </m:d>
        <m:r>
          <w:rPr>
            <w:rFonts w:ascii="Cambria Math" w:hAnsi="Cambria Math"/>
            <w:lang w:val="en-US"/>
          </w:rPr>
          <m:t>.</m:t>
        </m:r>
      </m:oMath>
    </w:p>
    <w:p w14:paraId="46AD58E3" w14:textId="3428A183" w:rsidR="00437BE5" w:rsidRPr="00A93A6F" w:rsidRDefault="00000000" w:rsidP="00437BE5">
      <w:pPr>
        <w:spacing w:line="360" w:lineRule="auto"/>
        <w:jc w:val="both"/>
        <w:rPr>
          <w:lang w:val="en-US"/>
        </w:rPr>
      </w:pPr>
      <m:oMath>
        <m:d>
          <m:dPr>
            <m:begChr m:val="|"/>
            <m:endChr m:val="|"/>
            <m:ctrlPr>
              <w:rPr>
                <w:rFonts w:ascii="Cambria Math" w:hAnsi="Cambria Math"/>
                <w:lang w:val="en-US"/>
              </w:rPr>
            </m:ctrlPr>
          </m:dPr>
          <m:e>
            <m:sSup>
              <m:sSupPr>
                <m:ctrlPr>
                  <w:rPr>
                    <w:rFonts w:ascii="Cambria Math" w:hAnsi="Cambria Math"/>
                    <w:lang w:val="en-US"/>
                  </w:rPr>
                </m:ctrlPr>
              </m:sSupPr>
              <m:e>
                <m:r>
                  <w:rPr>
                    <w:rFonts w:ascii="Cambria Math" w:hAnsi="Cambria Math"/>
                    <w:lang w:val="en-US"/>
                  </w:rPr>
                  <m:t>G</m:t>
                </m:r>
              </m:e>
              <m:sup>
                <m:r>
                  <w:rPr>
                    <w:rFonts w:ascii="Cambria Math" w:hAnsi="Cambria Math"/>
                    <w:lang w:val="en-US"/>
                  </w:rPr>
                  <m:t>*</m:t>
                </m:r>
              </m:sup>
            </m:sSup>
            <m:d>
              <m:dPr>
                <m:ctrlPr>
                  <w:rPr>
                    <w:rFonts w:ascii="Cambria Math" w:hAnsi="Cambria Math"/>
                    <w:i/>
                    <w:lang w:val="en-US"/>
                  </w:rPr>
                </m:ctrlPr>
              </m:dPr>
              <m:e>
                <m:r>
                  <w:rPr>
                    <w:rFonts w:ascii="Cambria Math" w:hAnsi="Cambria Math"/>
                    <w:lang w:val="en-US"/>
                  </w:rPr>
                  <m:t>t</m:t>
                </m:r>
              </m:e>
            </m:d>
          </m:e>
        </m:d>
      </m:oMath>
      <w:r w:rsidR="00437BE5" w:rsidRPr="00A93A6F">
        <w:rPr>
          <w:lang w:val="en-US"/>
        </w:rPr>
        <w:t xml:space="preserve"> can be decomposed into the storage and loss moduli</w:t>
      </w:r>
      <w:r w:rsidR="00FA0A75" w:rsidRPr="00A93A6F">
        <w:rPr>
          <w:lang w:val="en-US"/>
        </w:rPr>
        <w:t>,</w:t>
      </w:r>
      <w:r w:rsidR="00437BE5" w:rsidRPr="00A93A6F">
        <w:rPr>
          <w:lang w:val="en-US"/>
        </w:rPr>
        <w:t xml:space="preserve"> </w:t>
      </w:r>
      <w:r w:rsidR="00FA0A75" w:rsidRPr="00A93A6F">
        <w:rPr>
          <w:lang w:val="en-US"/>
        </w:rPr>
        <w:t>respectively</w:t>
      </w:r>
      <w:r w:rsidR="00FA0A75" w:rsidRPr="00A93A6F" w:rsidDel="00FA0A75">
        <w:rPr>
          <w:lang w:val="en-US"/>
        </w:rPr>
        <w:t xml:space="preserve"> </w:t>
      </w:r>
      <m:oMath>
        <m:r>
          <w:rPr>
            <w:rFonts w:ascii="Cambria Math" w:hAnsi="Cambria Math"/>
            <w:lang w:val="en-US"/>
          </w:rPr>
          <m:t xml:space="preserve">G’(t) </m:t>
        </m:r>
      </m:oMath>
      <w:r w:rsidR="00437BE5" w:rsidRPr="00A93A6F">
        <w:rPr>
          <w:lang w:val="en-US"/>
        </w:rPr>
        <w:t xml:space="preserve">and </w:t>
      </w:r>
      <m:oMath>
        <m:r>
          <w:rPr>
            <w:rFonts w:ascii="Cambria Math" w:hAnsi="Cambria Math"/>
            <w:lang w:val="en-US"/>
          </w:rPr>
          <m:t>G''(t)</m:t>
        </m:r>
      </m:oMath>
      <w:r w:rsidR="00437BE5" w:rsidRPr="00A93A6F">
        <w:rPr>
          <w:lang w:val="en-US"/>
        </w:rPr>
        <w:t xml:space="preserve">. Upon increasing the temperature, both moduli increase over time, with </w:t>
      </w:r>
      <m:oMath>
        <m:r>
          <w:rPr>
            <w:rFonts w:ascii="Cambria Math" w:hAnsi="Cambria Math"/>
            <w:lang w:val="en-US"/>
          </w:rPr>
          <m:t>G'(t)</m:t>
        </m:r>
      </m:oMath>
      <w:r w:rsidR="00437BE5" w:rsidRPr="00A93A6F">
        <w:rPr>
          <w:lang w:val="en-US"/>
        </w:rPr>
        <w:t xml:space="preserve"> increasing at a faster rate than </w:t>
      </w:r>
      <m:oMath>
        <m:sSup>
          <m:sSupPr>
            <m:ctrlPr>
              <w:rPr>
                <w:rFonts w:ascii="Cambria Math" w:hAnsi="Cambria Math"/>
                <w:i/>
                <w:lang w:val="en-US"/>
              </w:rPr>
            </m:ctrlPr>
          </m:sSupPr>
          <m:e>
            <m:r>
              <w:rPr>
                <w:rFonts w:ascii="Cambria Math" w:hAnsi="Cambria Math"/>
                <w:lang w:val="en-US"/>
              </w:rPr>
              <m:t>G</m:t>
            </m:r>
          </m:e>
          <m:sup>
            <m:r>
              <w:rPr>
                <w:rFonts w:ascii="Cambria Math" w:hAnsi="Cambria Math"/>
                <w:lang w:val="en-US"/>
              </w:rPr>
              <m:t>''</m:t>
            </m:r>
          </m:sup>
        </m:sSup>
        <m:d>
          <m:dPr>
            <m:ctrlPr>
              <w:rPr>
                <w:rFonts w:ascii="Cambria Math" w:hAnsi="Cambria Math"/>
                <w:i/>
                <w:lang w:val="en-US"/>
              </w:rPr>
            </m:ctrlPr>
          </m:dPr>
          <m:e>
            <m:r>
              <w:rPr>
                <w:rFonts w:ascii="Cambria Math" w:hAnsi="Cambria Math"/>
                <w:lang w:val="en-US"/>
              </w:rPr>
              <m:t>t</m:t>
            </m:r>
          </m:e>
        </m:d>
      </m:oMath>
      <w:r w:rsidR="00437BE5" w:rsidRPr="00A93A6F">
        <w:rPr>
          <w:lang w:val="en-US"/>
        </w:rPr>
        <w:t xml:space="preserve">. Hence, while </w:t>
      </w:r>
      <m:oMath>
        <m:r>
          <w:rPr>
            <w:rFonts w:ascii="Cambria Math" w:hAnsi="Cambria Math"/>
            <w:lang w:val="en-US"/>
          </w:rPr>
          <m:t>G'(t)≪G''(t)</m:t>
        </m:r>
      </m:oMath>
      <w:r w:rsidR="00437BE5" w:rsidRPr="00A93A6F">
        <w:rPr>
          <w:lang w:val="en-US"/>
        </w:rPr>
        <w:t xml:space="preserve"> initially, these moduli will become equal at a specific </w:t>
      </w:r>
      <w:r w:rsidR="00FA0A75" w:rsidRPr="00A93A6F">
        <w:rPr>
          <w:lang w:val="en-US"/>
        </w:rPr>
        <w:t xml:space="preserve">moment </w:t>
      </w:r>
      <w:r w:rsidR="00437BE5" w:rsidRPr="00A93A6F">
        <w:rPr>
          <w:lang w:val="en-US"/>
        </w:rPr>
        <w:t>in time (</w:t>
      </w:r>
      <m:oMath>
        <m:r>
          <w:rPr>
            <w:rFonts w:ascii="Cambria Math" w:hAnsi="Cambria Math"/>
            <w:lang w:val="en-US"/>
          </w:rPr>
          <m:t>G'=G''</m:t>
        </m:r>
      </m:oMath>
      <w:r w:rsidR="00437BE5" w:rsidRPr="00A93A6F">
        <w:rPr>
          <w:lang w:val="en-US"/>
        </w:rPr>
        <w:t xml:space="preserve">). At this point the system has a non-zero </w:t>
      </w:r>
      <m:oMath>
        <m:sSub>
          <m:sSubPr>
            <m:ctrlPr>
              <w:rPr>
                <w:rFonts w:ascii="Cambria Math" w:hAnsi="Cambria Math"/>
                <w:lang w:val="en-US"/>
              </w:rPr>
            </m:ctrlPr>
          </m:sSubPr>
          <m:e>
            <m:r>
              <w:rPr>
                <w:rFonts w:ascii="Cambria Math" w:hAnsi="Cambria Math"/>
                <w:lang w:val="en-US"/>
              </w:rPr>
              <m:t>σ</m:t>
            </m:r>
          </m:e>
          <m:sub>
            <m:r>
              <w:rPr>
                <w:rFonts w:ascii="Cambria Math" w:hAnsi="Cambria Math"/>
                <w:lang w:val="en-US"/>
              </w:rPr>
              <m:t>yield</m:t>
            </m:r>
          </m:sub>
        </m:sSub>
        <m:d>
          <m:dPr>
            <m:ctrlPr>
              <w:rPr>
                <w:rFonts w:ascii="Cambria Math" w:hAnsi="Cambria Math"/>
                <w:i/>
                <w:lang w:val="en-US"/>
              </w:rPr>
            </m:ctrlPr>
          </m:dPr>
          <m:e>
            <m:r>
              <w:rPr>
                <w:rFonts w:ascii="Cambria Math" w:hAnsi="Cambria Math"/>
                <w:lang w:val="en-US"/>
              </w:rPr>
              <m:t>t</m:t>
            </m:r>
          </m:e>
        </m:d>
      </m:oMath>
      <w:r w:rsidR="00437BE5" w:rsidRPr="00A93A6F">
        <w:rPr>
          <w:lang w:val="en-US"/>
        </w:rPr>
        <w:t>, which corresponds to a specific stiffness (</w:t>
      </w:r>
      <m:oMath>
        <m:d>
          <m:dPr>
            <m:begChr m:val="|"/>
            <m:endChr m:val="|"/>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G</m:t>
                </m:r>
              </m:e>
              <m:sup>
                <m:r>
                  <w:rPr>
                    <w:rFonts w:ascii="Cambria Math" w:hAnsi="Cambria Math"/>
                    <w:lang w:val="en-US"/>
                  </w:rPr>
                  <m:t>*</m:t>
                </m:r>
              </m:sup>
            </m:sSup>
            <m:d>
              <m:dPr>
                <m:ctrlPr>
                  <w:rPr>
                    <w:rFonts w:ascii="Cambria Math" w:hAnsi="Cambria Math"/>
                    <w:i/>
                    <w:lang w:val="en-US"/>
                  </w:rPr>
                </m:ctrlPr>
              </m:dPr>
              <m:e>
                <m:r>
                  <w:rPr>
                    <w:rFonts w:ascii="Cambria Math" w:hAnsi="Cambria Math"/>
                    <w:lang w:val="en-US"/>
                  </w:rPr>
                  <m:t>t</m:t>
                </m:r>
              </m:e>
            </m:d>
          </m:e>
        </m:d>
        <m:r>
          <w:rPr>
            <w:rFonts w:ascii="Cambria Math" w:hAnsi="Cambria Math"/>
            <w:lang w:val="en-US"/>
          </w:rPr>
          <m:t>=</m:t>
        </m:r>
        <m:d>
          <m:dPr>
            <m:begChr m:val="|"/>
            <m:endChr m:val="|"/>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G</m:t>
                </m:r>
              </m:e>
              <m:sub>
                <m:r>
                  <w:rPr>
                    <w:rFonts w:ascii="Cambria Math" w:hAnsi="Cambria Math"/>
                    <w:lang w:val="en-US"/>
                  </w:rPr>
                  <m:t>c</m:t>
                </m:r>
              </m:sub>
              <m:sup>
                <m:r>
                  <w:rPr>
                    <w:rFonts w:ascii="Cambria Math" w:hAnsi="Cambria Math"/>
                    <w:lang w:val="en-US"/>
                  </w:rPr>
                  <m:t>*</m:t>
                </m:r>
              </m:sup>
            </m:sSubSup>
          </m:e>
        </m:d>
      </m:oMath>
      <w:r w:rsidR="00437BE5" w:rsidRPr="00A93A6F">
        <w:rPr>
          <w:lang w:val="en-US"/>
        </w:rPr>
        <w:t xml:space="preserve">). Therefore, to reduce the window of </w:t>
      </w:r>
      <m:oMath>
        <m:d>
          <m:dPr>
            <m:begChr m:val="|"/>
            <m:endChr m:val="|"/>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G</m:t>
                </m:r>
              </m:e>
              <m:sub>
                <m:r>
                  <w:rPr>
                    <w:rFonts w:ascii="Cambria Math" w:hAnsi="Cambria Math"/>
                    <w:lang w:val="en-US"/>
                  </w:rPr>
                  <m:t>s</m:t>
                </m:r>
              </m:sub>
              <m:sup>
                <m:r>
                  <w:rPr>
                    <w:rFonts w:ascii="Cambria Math" w:hAnsi="Cambria Math"/>
                    <w:lang w:val="en-US"/>
                  </w:rPr>
                  <m:t>*</m:t>
                </m:r>
              </m:sup>
            </m:sSubSup>
          </m:e>
        </m:d>
        <m:r>
          <w:rPr>
            <w:rFonts w:ascii="Cambria Math" w:hAnsi="Cambria Math"/>
            <w:lang w:val="en-US"/>
          </w:rPr>
          <m:t xml:space="preserve"> </m:t>
        </m:r>
        <m:r>
          <m:rPr>
            <m:sty m:val="p"/>
          </m:rPr>
          <w:rPr>
            <w:rFonts w:ascii="Cambria Math" w:hAnsi="Cambria Math"/>
            <w:lang w:val="en-US"/>
          </w:rPr>
          <m:t>values</m:t>
        </m:r>
      </m:oMath>
      <w:r w:rsidR="00437BE5" w:rsidRPr="00A93A6F">
        <w:rPr>
          <w:lang w:val="en-US"/>
        </w:rPr>
        <w:t xml:space="preserve"> to be probed, a logical choice for </w:t>
      </w:r>
      <m:oMath>
        <m:d>
          <m:dPr>
            <m:begChr m:val="|"/>
            <m:endChr m:val="|"/>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G</m:t>
                </m:r>
              </m:e>
              <m:sub>
                <m:r>
                  <w:rPr>
                    <w:rFonts w:ascii="Cambria Math" w:hAnsi="Cambria Math"/>
                    <w:lang w:val="en-US"/>
                  </w:rPr>
                  <m:t>s</m:t>
                </m:r>
              </m:sub>
              <m:sup>
                <m:r>
                  <w:rPr>
                    <w:rFonts w:ascii="Cambria Math" w:hAnsi="Cambria Math"/>
                    <w:lang w:val="en-US"/>
                  </w:rPr>
                  <m:t>*</m:t>
                </m:r>
              </m:sup>
            </m:sSubSup>
          </m:e>
        </m:d>
      </m:oMath>
      <w:r w:rsidR="00437BE5" w:rsidRPr="00A93A6F">
        <w:rPr>
          <w:lang w:val="en-US"/>
        </w:rPr>
        <w:t xml:space="preserve"> </w:t>
      </w:r>
      <w:r w:rsidR="00FA0A75" w:rsidRPr="00A93A6F">
        <w:rPr>
          <w:lang w:val="en-US"/>
        </w:rPr>
        <w:t>lies in the region</w:t>
      </w:r>
      <w:r w:rsidR="00437BE5" w:rsidRPr="00A93A6F">
        <w:rPr>
          <w:lang w:val="en-US"/>
        </w:rPr>
        <w:t xml:space="preserve"> where a non-zero </w:t>
      </w:r>
      <m:oMath>
        <m:sSub>
          <m:sSubPr>
            <m:ctrlPr>
              <w:rPr>
                <w:rFonts w:ascii="Cambria Math" w:hAnsi="Cambria Math"/>
                <w:lang w:val="en-US"/>
              </w:rPr>
            </m:ctrlPr>
          </m:sSubPr>
          <m:e>
            <m:r>
              <w:rPr>
                <w:rFonts w:ascii="Cambria Math" w:hAnsi="Cambria Math"/>
                <w:lang w:val="en-US"/>
              </w:rPr>
              <m:t>σ</m:t>
            </m:r>
          </m:e>
          <m:sub>
            <m:r>
              <w:rPr>
                <w:rFonts w:ascii="Cambria Math" w:hAnsi="Cambria Math"/>
                <w:lang w:val="en-US"/>
              </w:rPr>
              <m:t>yield</m:t>
            </m:r>
          </m:sub>
        </m:sSub>
        <m:d>
          <m:dPr>
            <m:ctrlPr>
              <w:rPr>
                <w:rFonts w:ascii="Cambria Math" w:hAnsi="Cambria Math"/>
                <w:i/>
                <w:lang w:val="en-US"/>
              </w:rPr>
            </m:ctrlPr>
          </m:dPr>
          <m:e>
            <m:r>
              <w:rPr>
                <w:rFonts w:ascii="Cambria Math" w:hAnsi="Cambria Math"/>
                <w:lang w:val="en-US"/>
              </w:rPr>
              <m:t>t</m:t>
            </m:r>
          </m:e>
        </m:d>
      </m:oMath>
      <w:r w:rsidR="00FA0A75" w:rsidRPr="00A93A6F">
        <w:rPr>
          <w:lang w:val="en-US"/>
        </w:rPr>
        <w:t xml:space="preserve"> exists</w:t>
      </w:r>
      <w:r w:rsidR="00437BE5" w:rsidRPr="00A93A6F">
        <w:rPr>
          <w:lang w:val="en-US"/>
        </w:rPr>
        <w:t xml:space="preserve">, so </w:t>
      </w:r>
      <w:r w:rsidR="00FA0A75" w:rsidRPr="00A93A6F">
        <w:rPr>
          <w:lang w:val="en-US"/>
        </w:rPr>
        <w:t xml:space="preserve">that </w:t>
      </w:r>
      <m:oMath>
        <m:d>
          <m:dPr>
            <m:begChr m:val="|"/>
            <m:endChr m:val="|"/>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G</m:t>
                </m:r>
              </m:e>
              <m:sub>
                <m:r>
                  <w:rPr>
                    <w:rFonts w:ascii="Cambria Math" w:hAnsi="Cambria Math"/>
                    <w:lang w:val="en-US"/>
                  </w:rPr>
                  <m:t>s</m:t>
                </m:r>
              </m:sub>
              <m:sup>
                <m:r>
                  <w:rPr>
                    <w:rFonts w:ascii="Cambria Math" w:hAnsi="Cambria Math"/>
                    <w:lang w:val="en-US"/>
                  </w:rPr>
                  <m:t>*</m:t>
                </m:r>
              </m:sup>
            </m:sSubSup>
          </m:e>
        </m:d>
        <m:r>
          <w:rPr>
            <w:rFonts w:ascii="Cambria Math" w:hAnsi="Cambria Math"/>
            <w:lang w:val="en-US"/>
          </w:rPr>
          <m:t>≳</m:t>
        </m:r>
        <m:d>
          <m:dPr>
            <m:begChr m:val="|"/>
            <m:endChr m:val="|"/>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G</m:t>
                </m:r>
              </m:e>
              <m:sub>
                <m:r>
                  <w:rPr>
                    <w:rFonts w:ascii="Cambria Math" w:hAnsi="Cambria Math"/>
                    <w:lang w:val="en-US"/>
                  </w:rPr>
                  <m:t>c</m:t>
                </m:r>
              </m:sub>
              <m:sup>
                <m:r>
                  <w:rPr>
                    <w:rFonts w:ascii="Cambria Math" w:hAnsi="Cambria Math"/>
                    <w:lang w:val="en-US"/>
                  </w:rPr>
                  <m:t>*</m:t>
                </m:r>
              </m:sup>
            </m:sSubSup>
          </m:e>
        </m:d>
      </m:oMath>
      <w:r w:rsidR="00437BE5" w:rsidRPr="00A93A6F">
        <w:rPr>
          <w:lang w:val="en-US"/>
        </w:rPr>
        <w:t xml:space="preserve">. As mentioned before, the material will flow when </w:t>
      </w:r>
      <m:oMath>
        <m:sSub>
          <m:sSubPr>
            <m:ctrlPr>
              <w:rPr>
                <w:rFonts w:ascii="Cambria Math" w:hAnsi="Cambria Math"/>
                <w:lang w:val="en-US"/>
              </w:rPr>
            </m:ctrlPr>
          </m:sSubPr>
          <m:e>
            <m:r>
              <w:rPr>
                <w:rFonts w:ascii="Cambria Math" w:hAnsi="Cambria Math"/>
                <w:lang w:val="en-US"/>
              </w:rPr>
              <m:t>σ</m:t>
            </m:r>
          </m:e>
          <m:sub>
            <m:r>
              <w:rPr>
                <w:rFonts w:ascii="Cambria Math" w:hAnsi="Cambria Math"/>
                <w:lang w:val="en-US"/>
              </w:rPr>
              <m:t>app</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yield</m:t>
            </m:r>
          </m:sub>
        </m:sSub>
        <m:d>
          <m:dPr>
            <m:ctrlPr>
              <w:rPr>
                <w:rFonts w:ascii="Cambria Math" w:hAnsi="Cambria Math"/>
                <w:i/>
                <w:lang w:val="en-US"/>
              </w:rPr>
            </m:ctrlPr>
          </m:dPr>
          <m:e>
            <m:r>
              <w:rPr>
                <w:rFonts w:ascii="Cambria Math" w:hAnsi="Cambria Math"/>
                <w:lang w:val="en-US"/>
              </w:rPr>
              <m:t>t</m:t>
            </m:r>
          </m:e>
        </m:d>
      </m:oMath>
      <w:r w:rsidR="00FA0A75" w:rsidRPr="00A93A6F">
        <w:rPr>
          <w:lang w:val="en-US"/>
        </w:rPr>
        <w:t>,</w:t>
      </w:r>
      <w:r w:rsidR="00437BE5" w:rsidRPr="00A93A6F">
        <w:rPr>
          <w:lang w:val="en-US"/>
        </w:rPr>
        <w:t xml:space="preserve"> and stop flowing when the yield stress exceeds the applied stress (</w:t>
      </w:r>
      <w:r w:rsidR="00437BE5" w:rsidRPr="00A93A6F">
        <w:rPr>
          <w:i/>
          <w:iCs/>
          <w:lang w:val="en-US"/>
        </w:rPr>
        <w:t xml:space="preserve">e.g., </w:t>
      </w:r>
      <m:oMath>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yield</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&gt;</m:t>
        </m:r>
        <m:sSub>
          <m:sSubPr>
            <m:ctrlPr>
              <w:rPr>
                <w:rFonts w:ascii="Cambria Math" w:hAnsi="Cambria Math"/>
                <w:lang w:val="en-US"/>
              </w:rPr>
            </m:ctrlPr>
          </m:sSubPr>
          <m:e>
            <m:r>
              <w:rPr>
                <w:rFonts w:ascii="Cambria Math" w:hAnsi="Cambria Math"/>
                <w:lang w:val="en-US"/>
              </w:rPr>
              <m:t>σ</m:t>
            </m:r>
          </m:e>
          <m:sub>
            <m:r>
              <w:rPr>
                <w:rFonts w:ascii="Cambria Math" w:hAnsi="Cambria Math"/>
                <w:lang w:val="en-US"/>
              </w:rPr>
              <m:t>app</m:t>
            </m:r>
          </m:sub>
        </m:sSub>
      </m:oMath>
      <w:r w:rsidR="00437BE5" w:rsidRPr="00A93A6F">
        <w:rPr>
          <w:iCs/>
          <w:lang w:val="en-US"/>
        </w:rPr>
        <w:t>)</w:t>
      </w:r>
      <w:r w:rsidR="00756C8E" w:rsidRPr="00A93A6F">
        <w:rPr>
          <w:lang w:val="en-US"/>
        </w:rPr>
        <w:t xml:space="preserve">. </w:t>
      </w:r>
      <w:r w:rsidR="00437BE5" w:rsidRPr="00A93A6F">
        <w:rPr>
          <w:lang w:val="en-US"/>
        </w:rPr>
        <w:t xml:space="preserve">As a result, when using an appropriate </w:t>
      </w:r>
      <m:oMath>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app</m:t>
            </m:r>
          </m:sub>
        </m:sSub>
      </m:oMath>
      <w:r w:rsidR="00437BE5" w:rsidRPr="00A93A6F">
        <w:rPr>
          <w:lang w:val="en-US"/>
        </w:rPr>
        <w:t xml:space="preserve"> and </w:t>
      </w:r>
      <m:oMath>
        <m:d>
          <m:dPr>
            <m:begChr m:val="|"/>
            <m:endChr m:val="|"/>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G</m:t>
                </m:r>
              </m:e>
              <m:sub>
                <m:r>
                  <w:rPr>
                    <w:rFonts w:ascii="Cambria Math" w:hAnsi="Cambria Math"/>
                    <w:lang w:val="en-US"/>
                  </w:rPr>
                  <m:t>s</m:t>
                </m:r>
              </m:sub>
              <m:sup>
                <m:r>
                  <w:rPr>
                    <w:rFonts w:ascii="Cambria Math" w:hAnsi="Cambria Math"/>
                    <w:lang w:val="en-US"/>
                  </w:rPr>
                  <m:t>*</m:t>
                </m:r>
              </m:sup>
            </m:sSubSup>
          </m:e>
        </m:d>
      </m:oMath>
      <w:r w:rsidR="00437BE5" w:rsidRPr="00A93A6F">
        <w:rPr>
          <w:lang w:val="en-US"/>
        </w:rPr>
        <w:t xml:space="preserve">, rupture will be prevented and a finite </w:t>
      </w:r>
      <m:oMath>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ind</m:t>
            </m:r>
          </m:sub>
        </m:sSub>
      </m:oMath>
      <w:r w:rsidR="00437BE5" w:rsidRPr="00A93A6F">
        <w:rPr>
          <w:lang w:val="en-US"/>
        </w:rPr>
        <w:t xml:space="preserve"> will be obtained. By varying </w:t>
      </w:r>
      <m:oMath>
        <m:d>
          <m:dPr>
            <m:begChr m:val="|"/>
            <m:endChr m:val="|"/>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G</m:t>
                </m:r>
              </m:e>
              <m:sub>
                <m:r>
                  <w:rPr>
                    <w:rFonts w:ascii="Cambria Math" w:hAnsi="Cambria Math"/>
                    <w:lang w:val="en-US"/>
                  </w:rPr>
                  <m:t>s</m:t>
                </m:r>
              </m:sub>
              <m:sup>
                <m:r>
                  <w:rPr>
                    <w:rFonts w:ascii="Cambria Math" w:hAnsi="Cambria Math"/>
                    <w:lang w:val="en-US"/>
                  </w:rPr>
                  <m:t>*</m:t>
                </m:r>
              </m:sup>
            </m:sSubSup>
          </m:e>
        </m:d>
      </m:oMath>
      <w:r w:rsidR="00437BE5" w:rsidRPr="00A93A6F">
        <w:rPr>
          <w:lang w:val="en-US"/>
        </w:rPr>
        <w:t xml:space="preserve"> and keeping </w:t>
      </w:r>
      <m:oMath>
        <m:sSub>
          <m:sSubPr>
            <m:ctrlPr>
              <w:rPr>
                <w:rFonts w:ascii="Cambria Math" w:hAnsi="Cambria Math"/>
                <w:lang w:val="en-US"/>
              </w:rPr>
            </m:ctrlPr>
          </m:sSubPr>
          <m:e>
            <m:r>
              <w:rPr>
                <w:rFonts w:ascii="Cambria Math" w:hAnsi="Cambria Math"/>
                <w:lang w:val="en-US"/>
              </w:rPr>
              <m:t>σ</m:t>
            </m:r>
          </m:e>
          <m:sub>
            <m:r>
              <w:rPr>
                <w:rFonts w:ascii="Cambria Math" w:hAnsi="Cambria Math"/>
                <w:lang w:val="en-US"/>
              </w:rPr>
              <m:t>app</m:t>
            </m:r>
          </m:sub>
        </m:sSub>
      </m:oMath>
      <w:r w:rsidR="00437BE5" w:rsidRPr="00A93A6F">
        <w:rPr>
          <w:lang w:val="en-US"/>
        </w:rPr>
        <w:t xml:space="preserve"> fixed, one can tune the degree of deformation applied to the hydrogel. In this work, we found the relation between </w:t>
      </w:r>
      <m:oMath>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ind</m:t>
            </m:r>
          </m:sub>
        </m:sSub>
      </m:oMath>
      <w:r w:rsidR="00437BE5" w:rsidRPr="00A93A6F">
        <w:rPr>
          <w:lang w:val="en-US"/>
        </w:rPr>
        <w:t xml:space="preserve">, controlled by </w:t>
      </w:r>
      <m:oMath>
        <m:d>
          <m:dPr>
            <m:begChr m:val="|"/>
            <m:endChr m:val="|"/>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G</m:t>
                </m:r>
              </m:e>
              <m:sub>
                <m:r>
                  <w:rPr>
                    <w:rFonts w:ascii="Cambria Math" w:hAnsi="Cambria Math"/>
                    <w:lang w:val="en-US"/>
                  </w:rPr>
                  <m:t>s</m:t>
                </m:r>
              </m:sub>
              <m:sup>
                <m:r>
                  <w:rPr>
                    <w:rFonts w:ascii="Cambria Math" w:hAnsi="Cambria Math"/>
                    <w:lang w:val="en-US"/>
                  </w:rPr>
                  <m:t>*</m:t>
                </m:r>
              </m:sup>
            </m:sSubSup>
          </m:e>
        </m:d>
      </m:oMath>
      <w:r w:rsidR="00437BE5" w:rsidRPr="00A93A6F">
        <w:rPr>
          <w:lang w:val="en-US"/>
        </w:rPr>
        <w:t>, and the resulting induced fiber alignment, which was evaluated using second harmonic generation (SHG) microscopy.</w:t>
      </w:r>
    </w:p>
    <w:p w14:paraId="0337CDD7" w14:textId="2FCDA13C" w:rsidR="00437BE5" w:rsidRPr="00A93A6F" w:rsidRDefault="006B0A70" w:rsidP="00437BE5">
      <w:pPr>
        <w:spacing w:line="360" w:lineRule="auto"/>
        <w:jc w:val="center"/>
        <w:rPr>
          <w:lang w:val="en-US"/>
        </w:rPr>
      </w:pPr>
      <w:r w:rsidRPr="00A93A6F">
        <w:rPr>
          <w:noProof/>
          <w:lang w:val="nl-BE"/>
        </w:rPr>
        <w:lastRenderedPageBreak/>
        <w:drawing>
          <wp:inline distT="0" distB="0" distL="0" distR="0" wp14:anchorId="7EAF413A" wp14:editId="24664462">
            <wp:extent cx="5400000" cy="3884700"/>
            <wp:effectExtent l="0" t="0" r="0" b="1905"/>
            <wp:docPr id="7" name="Picture 7" descr="G:\Mijn Drive\PHDdrive\RheoPaper2021\Figures\Finished\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ijn Drive\PHDdrive\RheoPaper2021\Figures\Finished\Fig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00" cy="3884700"/>
                    </a:xfrm>
                    <a:prstGeom prst="rect">
                      <a:avLst/>
                    </a:prstGeom>
                    <a:noFill/>
                    <a:ln>
                      <a:noFill/>
                    </a:ln>
                  </pic:spPr>
                </pic:pic>
              </a:graphicData>
            </a:graphic>
          </wp:inline>
        </w:drawing>
      </w:r>
    </w:p>
    <w:p w14:paraId="0EE06EA0" w14:textId="5609F282" w:rsidR="00437BE5" w:rsidRPr="00A93A6F" w:rsidRDefault="00437BE5" w:rsidP="00437BE5">
      <w:pPr>
        <w:pStyle w:val="Legend"/>
        <w:spacing w:line="360" w:lineRule="auto"/>
      </w:pPr>
      <w:r w:rsidRPr="00A93A6F">
        <w:rPr>
          <w:b/>
        </w:rPr>
        <w:t>Figure 1.</w:t>
      </w:r>
      <w:r w:rsidRPr="00A93A6F">
        <w:t xml:space="preserve"> </w:t>
      </w:r>
      <w:r w:rsidRPr="00A93A6F">
        <w:rPr>
          <w:b/>
        </w:rPr>
        <w:t>Illustration of the</w:t>
      </w:r>
      <w:r w:rsidR="00E07AD3" w:rsidRPr="00A93A6F">
        <w:rPr>
          <w:b/>
        </w:rPr>
        <w:t xml:space="preserve"> initiation </w:t>
      </w:r>
      <w:r w:rsidRPr="00A93A6F">
        <w:rPr>
          <w:b/>
        </w:rPr>
        <w:t>time importance for the stress-controlled shear-flow alignment procedure.</w:t>
      </w:r>
      <w:r w:rsidRPr="00A93A6F">
        <w:t xml:space="preserve"> (a) Schematic illustration of the variation that one would observe in network formation between different samples. Here the y-axis indicates the stiffness (</w:t>
      </w:r>
      <m:oMath>
        <m:d>
          <m:dPr>
            <m:begChr m:val="|"/>
            <m:endChr m:val="|"/>
            <m:ctrlPr>
              <w:rPr>
                <w:rFonts w:ascii="Cambria Math" w:hAnsi="Cambria Math"/>
                <w:i/>
                <w:lang w:val="de-DE"/>
              </w:rPr>
            </m:ctrlPr>
          </m:dPr>
          <m:e>
            <m:sSup>
              <m:sSupPr>
                <m:ctrlPr>
                  <w:rPr>
                    <w:rFonts w:ascii="Cambria Math" w:hAnsi="Cambria Math"/>
                    <w:i/>
                    <w:lang w:val="de-DE"/>
                  </w:rPr>
                </m:ctrlPr>
              </m:sSupPr>
              <m:e>
                <m:r>
                  <w:rPr>
                    <w:rFonts w:ascii="Cambria Math" w:hAnsi="Cambria Math"/>
                    <w:lang w:val="de-DE"/>
                  </w:rPr>
                  <m:t>G</m:t>
                </m:r>
              </m:e>
              <m:sup>
                <m:r>
                  <w:rPr>
                    <w:rFonts w:ascii="Cambria Math" w:hAnsi="Cambria Math"/>
                  </w:rPr>
                  <m:t>*</m:t>
                </m:r>
              </m:sup>
            </m:sSup>
          </m:e>
        </m:d>
      </m:oMath>
      <w:r w:rsidRPr="00A93A6F">
        <w:t>) which is proportional to the yield stress (</w:t>
      </w:r>
      <m:oMath>
        <m:sSub>
          <m:sSubPr>
            <m:ctrlPr>
              <w:rPr>
                <w:rFonts w:ascii="Cambria Math" w:hAnsi="Cambria Math"/>
                <w:i/>
                <w:lang w:val="de-DE"/>
              </w:rPr>
            </m:ctrlPr>
          </m:sSubPr>
          <m:e>
            <m:r>
              <w:rPr>
                <w:rFonts w:ascii="Cambria Math" w:hAnsi="Cambria Math"/>
                <w:lang w:val="de-DE"/>
              </w:rPr>
              <m:t>σ</m:t>
            </m:r>
          </m:e>
          <m:sub>
            <m:r>
              <w:rPr>
                <w:rFonts w:ascii="Cambria Math" w:hAnsi="Cambria Math"/>
                <w:lang w:val="de-DE"/>
              </w:rPr>
              <m:t>yield</m:t>
            </m:r>
          </m:sub>
        </m:sSub>
      </m:oMath>
      <w:r w:rsidRPr="00A93A6F">
        <w:t>). (b) For each initiation point the applied stress is illustrated (dotted line) with its corresponding strain response (thick line).</w:t>
      </w:r>
    </w:p>
    <w:p w14:paraId="5300A879" w14:textId="77777777" w:rsidR="00437BE5" w:rsidRPr="00A93A6F" w:rsidRDefault="00437BE5" w:rsidP="00437BE5">
      <w:pPr>
        <w:spacing w:line="360" w:lineRule="auto"/>
        <w:jc w:val="both"/>
        <w:rPr>
          <w:lang w:val="en-US"/>
        </w:rPr>
      </w:pPr>
    </w:p>
    <w:p w14:paraId="5B4C0B36" w14:textId="77777777" w:rsidR="00437BE5" w:rsidRPr="00A93A6F" w:rsidRDefault="00437BE5" w:rsidP="00437BE5">
      <w:pPr>
        <w:pStyle w:val="Legend"/>
        <w:spacing w:line="360" w:lineRule="auto"/>
        <w:jc w:val="both"/>
        <w:rPr>
          <w:b/>
          <w:bCs/>
        </w:rPr>
      </w:pPr>
      <w:r w:rsidRPr="00A93A6F">
        <w:rPr>
          <w:b/>
          <w:bCs/>
        </w:rPr>
        <w:t>2.2 Sample preparation</w:t>
      </w:r>
    </w:p>
    <w:p w14:paraId="0F570DFB" w14:textId="4368B58D" w:rsidR="00437BE5" w:rsidRPr="00A93A6F" w:rsidRDefault="00437BE5" w:rsidP="00437BE5">
      <w:pPr>
        <w:pStyle w:val="Legend"/>
        <w:spacing w:line="360" w:lineRule="auto"/>
        <w:jc w:val="both"/>
      </w:pPr>
      <w:r w:rsidRPr="00A93A6F">
        <w:t>All samples were made using FluoroBrite™ DMEM (Gibco™, Thermo Fisher Scientific), supplemented with the appropriate amount of non-essential amino acids (NEAA) (Gibco™, Thermo Fisher Scientific), 10 % fetal bovine serum (FBS) (Gibco™, Thermo Fisher Scientific) and 100 units/ml penicillin-streptomycin (PEN-STREP) (Gibco™, Thermo Fisher Scientific), this is referred to in the following sections as ‘physiological buffer’.</w:t>
      </w:r>
      <w:r w:rsidRPr="00A93A6F">
        <w:rPr>
          <w:b/>
          <w:bCs/>
        </w:rPr>
        <w:t xml:space="preserve"> </w:t>
      </w:r>
      <w:r w:rsidRPr="00A93A6F">
        <w:t xml:space="preserve">For all experiments, acid-solubilized bovine collagen type I (Sigma-Aldrich) at a concentration of 6.0 mg/ml solution was used. The pH was adjusted to 7.4 </w:t>
      </w:r>
      <m:oMath>
        <m:r>
          <w:rPr>
            <w:rFonts w:ascii="Cambria Math" w:hAnsi="Cambria Math"/>
          </w:rPr>
          <m:t>±</m:t>
        </m:r>
      </m:oMath>
      <w:r w:rsidRPr="00A93A6F">
        <w:t xml:space="preserve"> 0.1 using NaOH (Fisher Scientific). Hereafter, the solution was diluted using the </w:t>
      </w:r>
      <w:r w:rsidR="00F874F0" w:rsidRPr="00A93A6F">
        <w:t>physiological</w:t>
      </w:r>
      <w:r w:rsidRPr="00A93A6F">
        <w:t xml:space="preserve"> buffer to reach a final collagen concentration of 1.0 mg/ml. </w:t>
      </w:r>
    </w:p>
    <w:p w14:paraId="19C01739" w14:textId="77777777" w:rsidR="00437BE5" w:rsidRPr="00A93A6F" w:rsidRDefault="00437BE5" w:rsidP="00437BE5">
      <w:pPr>
        <w:pStyle w:val="Legend"/>
        <w:spacing w:line="360" w:lineRule="auto"/>
        <w:jc w:val="both"/>
        <w:rPr>
          <w:b/>
          <w:bCs/>
        </w:rPr>
      </w:pPr>
    </w:p>
    <w:p w14:paraId="7947B2A8" w14:textId="77777777" w:rsidR="00437BE5" w:rsidRPr="00A93A6F" w:rsidRDefault="00437BE5" w:rsidP="00437BE5">
      <w:pPr>
        <w:pStyle w:val="Legend"/>
        <w:spacing w:line="360" w:lineRule="auto"/>
        <w:jc w:val="both"/>
        <w:rPr>
          <w:b/>
          <w:bCs/>
        </w:rPr>
      </w:pPr>
      <w:r w:rsidRPr="00A93A6F">
        <w:rPr>
          <w:b/>
          <w:bCs/>
        </w:rPr>
        <w:t>2.3 Rheology</w:t>
      </w:r>
    </w:p>
    <w:p w14:paraId="4E9DC5C6" w14:textId="67D299B7" w:rsidR="00437BE5" w:rsidRPr="00A93A6F" w:rsidRDefault="00437BE5" w:rsidP="00437BE5">
      <w:pPr>
        <w:pStyle w:val="Legend"/>
        <w:spacing w:line="360" w:lineRule="auto"/>
        <w:jc w:val="both"/>
      </w:pPr>
      <w:r w:rsidRPr="00A93A6F">
        <w:lastRenderedPageBreak/>
        <w:t xml:space="preserve">The rheological experiments were performed with a stress-controlled rheometer (Anton Paar MCR501, Austria) with a torque limit of 0.02 </w:t>
      </w:r>
      <m:oMath>
        <m:r>
          <w:rPr>
            <w:rFonts w:ascii="Cambria Math" w:hAnsi="Cambria Math"/>
          </w:rPr>
          <m:t>μ</m:t>
        </m:r>
      </m:oMath>
      <w:r w:rsidRPr="00A93A6F">
        <w:t xml:space="preserve">Nm, using a P-PTD Peltier system with solvent plate insert and a 25 mm diameter steel plate top geometry </w:t>
      </w:r>
      <w:r w:rsidR="00E07AD3" w:rsidRPr="00A93A6F">
        <w:t xml:space="preserve">with </w:t>
      </w:r>
      <w:r w:rsidRPr="00A93A6F">
        <w:t xml:space="preserve">a gap </w:t>
      </w:r>
      <w:r w:rsidR="00E07AD3" w:rsidRPr="00A93A6F">
        <w:t xml:space="preserve">size </w:t>
      </w:r>
      <w:r w:rsidRPr="00A93A6F">
        <w:t>of 500 µm. To prevent solvent evaporation, a H-PTD hood with evaporation blocker was utilized in combination with the addition of mineral oil (Sigma-Aldrich) around the sample. A full description of the rheological experimental procedures is given below:</w:t>
      </w:r>
    </w:p>
    <w:p w14:paraId="15B928C1" w14:textId="77777777" w:rsidR="00437BE5" w:rsidRPr="00A93A6F" w:rsidRDefault="00437BE5" w:rsidP="00437BE5">
      <w:pPr>
        <w:pStyle w:val="Legend"/>
        <w:spacing w:line="360" w:lineRule="auto"/>
        <w:jc w:val="both"/>
      </w:pPr>
      <w:r w:rsidRPr="00A93A6F">
        <w:rPr>
          <w:b/>
        </w:rPr>
        <w:t>Time sweep</w:t>
      </w:r>
      <w:r w:rsidRPr="00A93A6F">
        <w:rPr>
          <w:bCs/>
        </w:rPr>
        <w:t>:</w:t>
      </w:r>
      <w:r w:rsidRPr="00A93A6F">
        <w:rPr>
          <w:b/>
        </w:rPr>
        <w:t xml:space="preserve"> </w:t>
      </w:r>
      <w:r w:rsidRPr="00A93A6F">
        <w:t>First, the gelation kinetics were determined by measuring the dynamic moduli - shear modulus (</w:t>
      </w:r>
      <m:oMath>
        <m:sSup>
          <m:sSupPr>
            <m:ctrlPr>
              <w:rPr>
                <w:rFonts w:ascii="Cambria Math" w:hAnsi="Cambria Math"/>
              </w:rPr>
            </m:ctrlPr>
          </m:sSupPr>
          <m:e>
            <m:r>
              <w:rPr>
                <w:rFonts w:ascii="Cambria Math" w:hAnsi="Cambria Math"/>
              </w:rPr>
              <m:t>G</m:t>
            </m:r>
          </m:e>
          <m:sup>
            <m:r>
              <w:rPr>
                <w:rFonts w:ascii="Cambria Math" w:hAnsi="Cambria Math"/>
              </w:rPr>
              <m:t>*</m:t>
            </m:r>
          </m:sup>
        </m:sSup>
      </m:oMath>
      <w:r w:rsidRPr="00A93A6F">
        <w:t>), storage modulus (</w:t>
      </w:r>
      <m:oMath>
        <m:sSup>
          <m:sSupPr>
            <m:ctrlPr>
              <w:rPr>
                <w:rFonts w:ascii="Cambria Math" w:hAnsi="Cambria Math"/>
              </w:rPr>
            </m:ctrlPr>
          </m:sSupPr>
          <m:e>
            <m:r>
              <w:rPr>
                <w:rFonts w:ascii="Cambria Math" w:hAnsi="Cambria Math"/>
              </w:rPr>
              <m:t>G</m:t>
            </m:r>
          </m:e>
          <m:sup>
            <m:r>
              <w:rPr>
                <w:rFonts w:ascii="Cambria Math" w:hAnsi="Cambria Math"/>
              </w:rPr>
              <m:t>'</m:t>
            </m:r>
          </m:sup>
        </m:sSup>
      </m:oMath>
      <w:r w:rsidRPr="00A93A6F">
        <w:t>) and loss modulus (</w:t>
      </w:r>
      <m:oMath>
        <m:sSup>
          <m:sSupPr>
            <m:ctrlPr>
              <w:rPr>
                <w:rFonts w:ascii="Cambria Math" w:hAnsi="Cambria Math"/>
              </w:rPr>
            </m:ctrlPr>
          </m:sSupPr>
          <m:e>
            <m:r>
              <w:rPr>
                <w:rFonts w:ascii="Cambria Math" w:hAnsi="Cambria Math"/>
              </w:rPr>
              <m:t>G</m:t>
            </m:r>
          </m:e>
          <m:sup>
            <m:r>
              <w:rPr>
                <w:rFonts w:ascii="Cambria Math" w:hAnsi="Cambria Math"/>
              </w:rPr>
              <m:t>''</m:t>
            </m:r>
          </m:sup>
        </m:sSup>
      </m:oMath>
      <w:r w:rsidRPr="00A93A6F">
        <w:t>) - throughout time. For this purpose, an oscillatory time sweep was performed with a constant frequency of 5.0 rad/s and a strain (</w:t>
      </w:r>
      <m:oMath>
        <m:r>
          <w:rPr>
            <w:rFonts w:ascii="Cambria Math" w:hAnsi="Cambria Math"/>
          </w:rPr>
          <m:t>γ</m:t>
        </m:r>
      </m:oMath>
      <w:r w:rsidRPr="00A93A6F">
        <w:t>) of 1.0 % for 45 minutes to determine the time needed for the samples to fully cure.</w:t>
      </w:r>
    </w:p>
    <w:p w14:paraId="7B5D3632" w14:textId="61C17EEA" w:rsidR="00437BE5" w:rsidRPr="00A93A6F" w:rsidRDefault="00437BE5" w:rsidP="00437BE5">
      <w:pPr>
        <w:pStyle w:val="Legend"/>
        <w:spacing w:line="360" w:lineRule="auto"/>
        <w:jc w:val="both"/>
      </w:pPr>
      <w:r w:rsidRPr="00A93A6F">
        <w:rPr>
          <w:b/>
        </w:rPr>
        <w:t>Strain sweep:</w:t>
      </w:r>
      <w:r w:rsidRPr="00A93A6F">
        <w:t xml:space="preserve"> To determine the linear viscoelastic regime an oscillatory strain sweep was conducted in which </w:t>
      </w:r>
      <m:oMath>
        <m:r>
          <w:rPr>
            <w:rFonts w:ascii="Cambria Math" w:hAnsi="Cambria Math"/>
          </w:rPr>
          <m:t>γ</m:t>
        </m:r>
      </m:oMath>
      <w:r w:rsidRPr="00A93A6F">
        <w:t xml:space="preserve"> was varied over a range of 0.1-100.0 % with a frequency of 5.0 rad/s. As observed in the supplementary </w:t>
      </w:r>
      <w:r w:rsidR="00602FFE" w:rsidRPr="00A93A6F">
        <w:rPr>
          <w:b/>
        </w:rPr>
        <w:t>Figure S1</w:t>
      </w:r>
      <w:r w:rsidRPr="00A93A6F">
        <w:t>, strains below 2.0 % fall within the linear regime.</w:t>
      </w:r>
    </w:p>
    <w:p w14:paraId="41F5244F" w14:textId="155FFD1D" w:rsidR="00437BE5" w:rsidRPr="00A93A6F" w:rsidRDefault="00437BE5" w:rsidP="00437BE5">
      <w:pPr>
        <w:pStyle w:val="Legend"/>
        <w:spacing w:line="360" w:lineRule="auto"/>
        <w:jc w:val="both"/>
      </w:pPr>
      <w:r w:rsidRPr="00A93A6F">
        <w:rPr>
          <w:b/>
        </w:rPr>
        <w:t>Shear flow protocol:</w:t>
      </w:r>
      <w:r w:rsidRPr="00A93A6F">
        <w:t xml:space="preserve"> The first step in our alignment approach consisted out of measuring the increase of the dynamic modulus (</w:t>
      </w:r>
      <m:oMath>
        <m:d>
          <m:dPr>
            <m:begChr m:val="|"/>
            <m:endChr m:val="|"/>
            <m:ctrlPr>
              <w:rPr>
                <w:rFonts w:ascii="Cambria Math" w:hAnsi="Cambria Math"/>
              </w:rPr>
            </m:ctrlPr>
          </m:dPr>
          <m:e>
            <m:sSup>
              <m:sSupPr>
                <m:ctrlPr>
                  <w:rPr>
                    <w:rFonts w:ascii="Cambria Math" w:hAnsi="Cambria Math"/>
                  </w:rPr>
                </m:ctrlPr>
              </m:sSupPr>
              <m:e>
                <m:r>
                  <w:rPr>
                    <w:rFonts w:ascii="Cambria Math" w:hAnsi="Cambria Math"/>
                  </w:rPr>
                  <m:t>G</m:t>
                </m:r>
              </m:e>
              <m:sup>
                <m:r>
                  <w:rPr>
                    <w:rFonts w:ascii="Cambria Math" w:hAnsi="Cambria Math"/>
                  </w:rPr>
                  <m:t>*</m:t>
                </m:r>
              </m:sup>
            </m:sSup>
            <m:r>
              <w:rPr>
                <w:rFonts w:ascii="Cambria Math" w:hAnsi="Cambria Math"/>
              </w:rPr>
              <m:t>(t)</m:t>
            </m:r>
          </m:e>
        </m:d>
      </m:oMath>
      <w:r w:rsidRPr="00A93A6F">
        <w:t>) throughout time. When a predetermined value was reached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G</m:t>
                </m:r>
              </m:e>
              <m:sup>
                <m:r>
                  <w:rPr>
                    <w:rFonts w:ascii="Cambria Math" w:hAnsi="Cambria Math"/>
                  </w:rPr>
                  <m:t>*</m:t>
                </m:r>
              </m:sup>
            </m:sSup>
            <m:d>
              <m:dPr>
                <m:ctrlPr>
                  <w:rPr>
                    <w:rFonts w:ascii="Cambria Math" w:hAnsi="Cambria Math"/>
                    <w:i/>
                  </w:rPr>
                </m:ctrlPr>
              </m:dPr>
              <m:e>
                <m:r>
                  <w:rPr>
                    <w:rFonts w:ascii="Cambria Math" w:hAnsi="Cambria Math"/>
                  </w:rPr>
                  <m:t>t</m:t>
                </m:r>
              </m:e>
            </m:d>
          </m:e>
        </m:d>
        <m:r>
          <w:rPr>
            <w:rFonts w:ascii="Cambria Math" w:hAnsi="Cambria Math"/>
          </w:rPr>
          <m:t>=</m:t>
        </m:r>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G</m:t>
                </m:r>
              </m:e>
              <m:sub>
                <m:r>
                  <w:rPr>
                    <w:rFonts w:ascii="Cambria Math" w:hAnsi="Cambria Math"/>
                  </w:rPr>
                  <m:t>s</m:t>
                </m:r>
              </m:sub>
              <m:sup>
                <m:r>
                  <w:rPr>
                    <w:rFonts w:ascii="Cambria Math" w:hAnsi="Cambria Math"/>
                  </w:rPr>
                  <m:t>*</m:t>
                </m:r>
              </m:sup>
            </m:sSubSup>
          </m:e>
        </m:d>
      </m:oMath>
      <w:r w:rsidRPr="00A93A6F">
        <w:t>) a rotational stress (</w:t>
      </w:r>
      <m:oMath>
        <m:sSub>
          <m:sSubPr>
            <m:ctrlPr>
              <w:rPr>
                <w:rFonts w:ascii="Cambria Math" w:hAnsi="Cambria Math"/>
              </w:rPr>
            </m:ctrlPr>
          </m:sSubPr>
          <m:e>
            <m:r>
              <w:rPr>
                <w:rFonts w:ascii="Cambria Math" w:hAnsi="Cambria Math"/>
              </w:rPr>
              <m:t>σ</m:t>
            </m:r>
          </m:e>
          <m:sub>
            <m:r>
              <w:rPr>
                <w:rFonts w:ascii="Cambria Math" w:hAnsi="Cambria Math"/>
              </w:rPr>
              <m:t>app</m:t>
            </m:r>
          </m:sub>
        </m:sSub>
      </m:oMath>
      <w:r w:rsidRPr="00A93A6F">
        <w:t>) was applied to the material. This stress was kept constant over a time period exceeding the gelation time (26 minutes), determined by the time sweep experiments (</w:t>
      </w:r>
      <w:r w:rsidRPr="00A93A6F">
        <w:rPr>
          <w:b/>
          <w:bCs/>
        </w:rPr>
        <w:t>Figure S</w:t>
      </w:r>
      <w:r w:rsidR="00602FFE" w:rsidRPr="00A93A6F">
        <w:rPr>
          <w:b/>
          <w:bCs/>
        </w:rPr>
        <w:t>2</w:t>
      </w:r>
      <w:r w:rsidRPr="00A93A6F">
        <w:t xml:space="preserve">). Lastly, the stress was released and the material left to relax for another 15 minutes on the rheometer before removing the sample with a spatula and storing </w:t>
      </w:r>
      <w:r w:rsidR="007650D1" w:rsidRPr="00A93A6F">
        <w:t xml:space="preserve">it </w:t>
      </w:r>
      <w:r w:rsidRPr="00A93A6F">
        <w:t xml:space="preserve">in physiological buffer at 37 </w:t>
      </w:r>
      <w:r w:rsidRPr="00A93A6F">
        <w:rPr>
          <w:vertAlign w:val="superscript"/>
        </w:rPr>
        <w:t>◦</w:t>
      </w:r>
      <w:r w:rsidRPr="00A93A6F">
        <w:t xml:space="preserve">C for up to three days after preparation. </w:t>
      </w:r>
    </w:p>
    <w:p w14:paraId="747EC62F" w14:textId="1E7E1023" w:rsidR="00437BE5" w:rsidRPr="00A93A6F" w:rsidRDefault="00437BE5" w:rsidP="00437BE5">
      <w:pPr>
        <w:pStyle w:val="Legend"/>
        <w:spacing w:line="360" w:lineRule="auto"/>
        <w:jc w:val="both"/>
      </w:pPr>
      <w:r w:rsidRPr="00A93A6F">
        <w:rPr>
          <w:b/>
        </w:rPr>
        <w:t>Frequency sweep:</w:t>
      </w:r>
      <w:r w:rsidRPr="00A93A6F">
        <w:t xml:space="preserve"> To determine the time dependent viscoelastic behavior, the dynamic moduli were measured over a frequency range of 0.1-100 rad/s using an oscillatory </w:t>
      </w:r>
      <m:oMath>
        <m:r>
          <w:rPr>
            <w:rFonts w:ascii="Cambria Math" w:hAnsi="Cambria Math"/>
          </w:rPr>
          <m:t>γ</m:t>
        </m:r>
      </m:oMath>
      <w:r w:rsidRPr="00A93A6F">
        <w:t xml:space="preserve"> of 1.0 % (</w:t>
      </w:r>
      <w:r w:rsidR="00481187" w:rsidRPr="00A93A6F">
        <w:rPr>
          <w:b/>
        </w:rPr>
        <w:t>Figure S</w:t>
      </w:r>
      <w:r w:rsidR="00602FFE" w:rsidRPr="00A93A6F">
        <w:rPr>
          <w:b/>
        </w:rPr>
        <w:t>3</w:t>
      </w:r>
      <w:r w:rsidRPr="00A93A6F">
        <w:t xml:space="preserve">). For samples solidified at 37 </w:t>
      </w:r>
      <w:r w:rsidRPr="00A93A6F">
        <w:rPr>
          <w:vertAlign w:val="superscript"/>
        </w:rPr>
        <w:t>◦</w:t>
      </w:r>
      <w:r w:rsidRPr="00A93A6F">
        <w:t xml:space="preserve">C the moduli varied between 30-10 Pa for the storage moduli and 5.0-2.0 Pa for the loss moduli. Solidification at 27 </w:t>
      </w:r>
      <w:r w:rsidRPr="00A93A6F">
        <w:rPr>
          <w:vertAlign w:val="superscript"/>
        </w:rPr>
        <w:t>◦</w:t>
      </w:r>
      <w:r w:rsidRPr="00A93A6F">
        <w:t>C caused the moduli to be significantly higher with the storage moduli ranging from 70 Pa to 24 Pa and the loss moduli from 12</w:t>
      </w:r>
      <w:r w:rsidR="00C83153" w:rsidRPr="00A93A6F">
        <w:rPr>
          <w:rFonts w:ascii="Arial" w:hAnsi="Arial" w:cs="Arial"/>
          <w:sz w:val="21"/>
          <w:szCs w:val="21"/>
          <w:shd w:val="clear" w:color="auto" w:fill="FDFDFD"/>
        </w:rPr>
        <w:t> </w:t>
      </w:r>
      <w:r w:rsidR="007650D1" w:rsidRPr="00A93A6F">
        <w:t>to</w:t>
      </w:r>
      <w:r w:rsidR="00C83153" w:rsidRPr="00A93A6F">
        <w:rPr>
          <w:rFonts w:ascii="Arial" w:hAnsi="Arial" w:cs="Arial"/>
          <w:sz w:val="21"/>
          <w:szCs w:val="21"/>
          <w:shd w:val="clear" w:color="auto" w:fill="FDFDFD"/>
        </w:rPr>
        <w:t> </w:t>
      </w:r>
      <w:r w:rsidRPr="00A93A6F">
        <w:t>3.0 Pa.</w:t>
      </w:r>
    </w:p>
    <w:p w14:paraId="3E85F0F6" w14:textId="77777777" w:rsidR="00437BE5" w:rsidRPr="00A93A6F" w:rsidRDefault="00437BE5" w:rsidP="00437BE5">
      <w:pPr>
        <w:pStyle w:val="Legend"/>
        <w:spacing w:line="360" w:lineRule="auto"/>
        <w:jc w:val="both"/>
      </w:pPr>
    </w:p>
    <w:p w14:paraId="3379D8D2" w14:textId="77777777" w:rsidR="00437BE5" w:rsidRPr="00A93A6F" w:rsidRDefault="00437BE5" w:rsidP="00437BE5">
      <w:pPr>
        <w:pStyle w:val="Legend"/>
        <w:spacing w:line="360" w:lineRule="auto"/>
        <w:jc w:val="both"/>
        <w:rPr>
          <w:b/>
          <w:bCs/>
        </w:rPr>
      </w:pPr>
      <w:r w:rsidRPr="00A93A6F">
        <w:rPr>
          <w:b/>
          <w:bCs/>
        </w:rPr>
        <w:t>2.4 Second harmonic generation (SHG)</w:t>
      </w:r>
    </w:p>
    <w:p w14:paraId="647FC6C1" w14:textId="34F5E52D" w:rsidR="00437BE5" w:rsidRPr="00A93A6F" w:rsidRDefault="00437BE5" w:rsidP="00437BE5">
      <w:pPr>
        <w:pStyle w:val="Legend"/>
        <w:spacing w:line="360" w:lineRule="auto"/>
        <w:jc w:val="both"/>
      </w:pPr>
      <w:r w:rsidRPr="00A93A6F">
        <w:t xml:space="preserve">SHG images were obtained using an Olympus BX61 WI-1200-M system. Laser excitation was delivered by an insight DS+ laser system (Spectra-Physics) producing a horizontally polarized beam </w:t>
      </w:r>
      <w:r w:rsidR="007650D1" w:rsidRPr="00A93A6F">
        <w:t>with a</w:t>
      </w:r>
      <w:r w:rsidRPr="00A93A6F">
        <w:t xml:space="preserve"> </w:t>
      </w:r>
      <w:r w:rsidR="007650D1" w:rsidRPr="00A93A6F">
        <w:t xml:space="preserve">frequency of </w:t>
      </w:r>
      <w:r w:rsidRPr="00A93A6F">
        <w:t xml:space="preserve">80 MHz and </w:t>
      </w:r>
      <w:r w:rsidR="007650D1" w:rsidRPr="00A93A6F">
        <w:t xml:space="preserve">a </w:t>
      </w:r>
      <w:r w:rsidRPr="00A93A6F">
        <w:t xml:space="preserve">120 fs pulse width. Laser power was modulated using an achromatic half-wave plate and a Glan-Taylor polarizer, producing a vertically polarized beam. Subsequently, a quarter-wave plate at 45° was used to produce a right-handed circularly polarized beam entering the microscope. A laser power of 32 mW was used at the sample </w:t>
      </w:r>
      <w:r w:rsidRPr="00A93A6F">
        <w:lastRenderedPageBreak/>
        <w:t>location. The laser beam was set at an excitation wavelength of 900 nm, and focu</w:t>
      </w:r>
      <w:r w:rsidR="00D33114" w:rsidRPr="00A93A6F">
        <w:t>sed onto the sample using a 40×</w:t>
      </w:r>
      <w:r w:rsidRPr="00A93A6F">
        <w:t xml:space="preserve"> water immersion objective (Nikon CFI APO NIR, 0.80 NA, 3.5 WD). SHG was detected both in the forward and backward direction</w:t>
      </w:r>
      <w:r w:rsidR="007650D1" w:rsidRPr="00A93A6F">
        <w:t>s</w:t>
      </w:r>
      <w:r w:rsidRPr="00A93A6F">
        <w:t xml:space="preserve">, </w:t>
      </w:r>
      <w:r w:rsidR="007650D1" w:rsidRPr="00A93A6F">
        <w:t xml:space="preserve">in </w:t>
      </w:r>
      <w:r w:rsidRPr="00A93A6F">
        <w:t xml:space="preserve">a non-descanned geometry, with Hamamatsu R3896 photomultiplier tubes. Both paths used a filter cube with a 470 LPXR dichroic mirror for two-photon excited fluorescence and 450/7 bandpass filter (Chroma) for SHG. The acquired images had a resolution of 512x512 pixels, with an image capture speed of 40 </w:t>
      </w:r>
      <m:oMath>
        <m:r>
          <w:rPr>
            <w:rFonts w:ascii="Cambria Math" w:hAnsi="Cambria Math"/>
          </w:rPr>
          <m:t>μ</m:t>
        </m:r>
      </m:oMath>
      <w:r w:rsidRPr="00A93A6F">
        <w:t xml:space="preserve">m/s. For all Z-stacks, a Z-step of 15 </w:t>
      </w:r>
      <m:oMath>
        <m:r>
          <w:rPr>
            <w:rFonts w:ascii="Cambria Math" w:hAnsi="Cambria Math"/>
          </w:rPr>
          <m:t>μ</m:t>
        </m:r>
      </m:oMath>
      <w:r w:rsidRPr="00A93A6F">
        <w:t xml:space="preserve">m was chosen. </w:t>
      </w:r>
    </w:p>
    <w:p w14:paraId="14F8CB7C" w14:textId="77777777" w:rsidR="00437BE5" w:rsidRPr="00A93A6F" w:rsidRDefault="00437BE5" w:rsidP="00437BE5">
      <w:pPr>
        <w:pStyle w:val="Legend"/>
        <w:spacing w:line="360" w:lineRule="auto"/>
        <w:jc w:val="both"/>
      </w:pPr>
    </w:p>
    <w:p w14:paraId="27A300B5" w14:textId="77777777" w:rsidR="00437BE5" w:rsidRPr="00A93A6F" w:rsidRDefault="00437BE5" w:rsidP="00437BE5">
      <w:pPr>
        <w:pStyle w:val="Legend"/>
        <w:spacing w:line="360" w:lineRule="auto"/>
        <w:jc w:val="both"/>
        <w:rPr>
          <w:b/>
          <w:bCs/>
        </w:rPr>
      </w:pPr>
      <w:r w:rsidRPr="00A93A6F">
        <w:rPr>
          <w:b/>
          <w:bCs/>
        </w:rPr>
        <w:t>2.5 Quantification of fibrillar alignment</w:t>
      </w:r>
    </w:p>
    <w:p w14:paraId="335EDD1F" w14:textId="3A34E55E" w:rsidR="00437BE5" w:rsidRPr="00A93A6F" w:rsidRDefault="00437BE5" w:rsidP="00437BE5">
      <w:pPr>
        <w:pStyle w:val="Legend"/>
        <w:spacing w:line="360" w:lineRule="auto"/>
        <w:jc w:val="both"/>
      </w:pPr>
      <w:r w:rsidRPr="00A93A6F">
        <w:t xml:space="preserve">To obtain a quantitative understanding of anisotropy, an order parameter (S) was determined, defined as: </w:t>
      </w:r>
      <m:oMath>
        <m:r>
          <w:rPr>
            <w:rFonts w:ascii="Cambria Math" w:hAnsi="Cambria Math"/>
          </w:rPr>
          <m:t>S=2</m:t>
        </m:r>
        <m:sSup>
          <m:sSupPr>
            <m:ctrlPr>
              <w:rPr>
                <w:rFonts w:ascii="Cambria Math" w:hAnsi="Cambria Math"/>
              </w:rPr>
            </m:ctrlPr>
          </m:sSupPr>
          <m:e>
            <m:r>
              <w:rPr>
                <w:rFonts w:ascii="Cambria Math" w:hAnsi="Cambria Math"/>
              </w:rPr>
              <m:t>&lt;cos</m:t>
            </m:r>
          </m:e>
          <m:sup>
            <m:r>
              <w:rPr>
                <w:rFonts w:ascii="Cambria Math" w:hAnsi="Cambria Math"/>
              </w:rPr>
              <m:t>2</m:t>
            </m:r>
          </m:sup>
        </m:sSup>
        <m:d>
          <m:dPr>
            <m:ctrlPr>
              <w:rPr>
                <w:rFonts w:ascii="Cambria Math" w:hAnsi="Cambria Math"/>
              </w:rPr>
            </m:ctrlPr>
          </m:dPr>
          <m:e>
            <m:r>
              <w:rPr>
                <w:rFonts w:ascii="Cambria Math" w:hAnsi="Cambria Math"/>
              </w:rPr>
              <m:t>θ</m:t>
            </m:r>
          </m:e>
        </m:d>
        <m:r>
          <w:rPr>
            <w:rFonts w:ascii="Cambria Math" w:hAnsi="Cambria Math"/>
          </w:rPr>
          <m:t>-1&gt;.</m:t>
        </m:r>
      </m:oMath>
      <w:r w:rsidRPr="00A93A6F">
        <w:t xml:space="preserve"> Here, S is a dimensionless unit that varies between zero for a completely random orientation, and one for a fully ordered phase. A fully ordered phase means that all visualized fibers run parallel along the direction of the local director (</w:t>
      </w:r>
      <m:oMath>
        <m:sSup>
          <m:sSupPr>
            <m:ctrlPr>
              <w:rPr>
                <w:rFonts w:ascii="Cambria Math" w:hAnsi="Cambria Math"/>
              </w:rPr>
            </m:ctrlPr>
          </m:sSupPr>
          <m:e>
            <m:r>
              <w:rPr>
                <w:rFonts w:ascii="Cambria Math" w:hAnsi="Cambria Math"/>
              </w:rPr>
              <m:t>θ</m:t>
            </m:r>
          </m:e>
          <m:sup>
            <m:r>
              <w:rPr>
                <w:rFonts w:ascii="Cambria Math" w:hAnsi="Cambria Math"/>
              </w:rPr>
              <m:t>*</m:t>
            </m:r>
          </m:sup>
        </m:sSup>
      </m:oMath>
      <w:r w:rsidRPr="00A93A6F">
        <w:t xml:space="preserve">). The local director </w:t>
      </w:r>
      <w:r w:rsidR="00F71058" w:rsidRPr="00A93A6F">
        <w:t xml:space="preserve">was </w:t>
      </w:r>
      <w:r w:rsidRPr="00A93A6F">
        <w:t xml:space="preserve">calculated as the most occurring angle of the fiber distribution, </w:t>
      </w:r>
      <w:r w:rsidR="00F71058" w:rsidRPr="00A93A6F">
        <w:t>using the</w:t>
      </w:r>
      <w:r w:rsidRPr="00A93A6F">
        <w:t xml:space="preserve"> follow</w:t>
      </w:r>
      <w:r w:rsidR="00F71058" w:rsidRPr="00A93A6F">
        <w:t>ing equation</w:t>
      </w:r>
      <w:r w:rsidRPr="00A93A6F">
        <w:t xml:space="preserve">: </w:t>
      </w:r>
    </w:p>
    <w:p w14:paraId="5955BF08" w14:textId="199306CB" w:rsidR="00437BE5" w:rsidRPr="00A93A6F" w:rsidRDefault="00000000" w:rsidP="00437BE5">
      <w:pPr>
        <w:pStyle w:val="Legend"/>
        <w:spacing w:line="360" w:lineRule="auto"/>
        <w:jc w:val="center"/>
      </w:pPr>
      <w:sdt>
        <w:sdtPr>
          <w:tag w:val="goog_rdk_4"/>
          <w:id w:val="1988204296"/>
          <w:showingPlcHdr/>
        </w:sdtPr>
        <w:sdtContent>
          <w:r w:rsidR="00437BE5" w:rsidRPr="00A93A6F">
            <w:t xml:space="preserve">     </w:t>
          </w:r>
        </w:sdtContent>
      </w:sdt>
      <w:bookmarkStart w:id="4" w:name="_Hlk102051093"/>
      <m:oMath>
        <m:sSup>
          <m:sSupPr>
            <m:ctrlPr>
              <w:rPr>
                <w:rFonts w:ascii="Cambria Math" w:hAnsi="Cambria Math" w:cstheme="minorHAnsi"/>
                <w:sz w:val="22"/>
                <w:szCs w:val="22"/>
              </w:rPr>
            </m:ctrlPr>
          </m:sSupPr>
          <m:e>
            <m:r>
              <w:rPr>
                <w:rFonts w:ascii="Cambria Math" w:hAnsi="Cambria Math" w:cstheme="minorHAnsi"/>
                <w:sz w:val="22"/>
                <w:szCs w:val="22"/>
              </w:rPr>
              <m:t>θ</m:t>
            </m:r>
          </m:e>
          <m:sup>
            <m:r>
              <w:rPr>
                <w:rFonts w:ascii="Cambria Math" w:hAnsi="Cambria Math" w:cstheme="minorHAnsi"/>
                <w:sz w:val="22"/>
                <w:szCs w:val="22"/>
              </w:rPr>
              <m:t>*</m:t>
            </m:r>
          </m:sup>
        </m:sSup>
        <m:r>
          <w:rPr>
            <w:rFonts w:ascii="Cambria Math" w:hAnsi="Cambria Math" w:cstheme="minorHAnsi"/>
            <w:sz w:val="22"/>
            <w:szCs w:val="22"/>
          </w:rPr>
          <m:t>=0.5*atan2</m:t>
        </m:r>
        <m:d>
          <m:dPr>
            <m:ctrlPr>
              <w:rPr>
                <w:rFonts w:ascii="Cambria Math" w:hAnsi="Cambria Math" w:cstheme="minorHAnsi"/>
                <w:sz w:val="22"/>
                <w:szCs w:val="22"/>
              </w:rPr>
            </m:ctrlPr>
          </m:dPr>
          <m:e>
            <m:r>
              <w:rPr>
                <w:rFonts w:ascii="Cambria Math" w:hAnsi="Cambria Math" w:cstheme="minorHAnsi"/>
                <w:sz w:val="22"/>
                <w:szCs w:val="22"/>
              </w:rPr>
              <m:t xml:space="preserve"> </m:t>
            </m:r>
            <m:nary>
              <m:naryPr>
                <m:limLoc m:val="subSup"/>
                <m:ctrlPr>
                  <w:rPr>
                    <w:rFonts w:ascii="Cambria Math" w:hAnsi="Cambria Math" w:cstheme="minorHAnsi"/>
                    <w:i/>
                    <w:sz w:val="22"/>
                    <w:szCs w:val="22"/>
                  </w:rPr>
                </m:ctrlPr>
              </m:naryPr>
              <m:sub>
                <m:r>
                  <w:rPr>
                    <w:rFonts w:ascii="Cambria Math" w:hAnsi="Cambria Math" w:cstheme="minorHAnsi"/>
                    <w:sz w:val="22"/>
                    <w:szCs w:val="22"/>
                  </w:rPr>
                  <m:t>0</m:t>
                </m:r>
              </m:sub>
              <m:sup>
                <m:r>
                  <w:rPr>
                    <w:rFonts w:ascii="Cambria Math" w:hAnsi="Cambria Math" w:cstheme="minorHAnsi"/>
                    <w:sz w:val="22"/>
                    <w:szCs w:val="22"/>
                  </w:rPr>
                  <m:t>π</m:t>
                </m:r>
              </m:sup>
              <m:e>
                <m:r>
                  <w:rPr>
                    <w:rFonts w:ascii="Cambria Math" w:hAnsi="Cambria Math" w:cstheme="minorHAnsi"/>
                    <w:sz w:val="22"/>
                    <w:szCs w:val="22"/>
                  </w:rPr>
                  <m:t xml:space="preserve">sin </m:t>
                </m:r>
                <m:d>
                  <m:dPr>
                    <m:ctrlPr>
                      <w:rPr>
                        <w:rFonts w:ascii="Cambria Math" w:hAnsi="Cambria Math" w:cstheme="minorHAnsi"/>
                        <w:sz w:val="22"/>
                        <w:szCs w:val="22"/>
                      </w:rPr>
                    </m:ctrlPr>
                  </m:dPr>
                  <m:e>
                    <m:r>
                      <w:rPr>
                        <w:rFonts w:ascii="Cambria Math" w:hAnsi="Cambria Math" w:cstheme="minorHAnsi"/>
                        <w:sz w:val="22"/>
                        <w:szCs w:val="22"/>
                      </w:rPr>
                      <m:t>2</m:t>
                    </m:r>
                    <m:r>
                      <m:rPr>
                        <m:sty m:val="p"/>
                      </m:rPr>
                      <w:rPr>
                        <w:rFonts w:ascii="Cambria Math" w:hAnsi="Cambria Math" w:cstheme="minorHAnsi"/>
                        <w:sz w:val="22"/>
                        <w:szCs w:val="22"/>
                      </w:rPr>
                      <m:t>θ</m:t>
                    </m:r>
                  </m:e>
                </m:d>
                <m:r>
                  <w:rPr>
                    <w:rFonts w:ascii="Cambria Math" w:hAnsi="Cambria Math" w:cstheme="minorHAnsi"/>
                    <w:sz w:val="22"/>
                    <w:szCs w:val="22"/>
                  </w:rPr>
                  <m:t xml:space="preserve"> dθ</m:t>
                </m:r>
              </m:e>
            </m:nary>
            <m:r>
              <w:rPr>
                <w:rFonts w:ascii="Cambria Math" w:hAnsi="Cambria Math" w:cstheme="minorHAnsi"/>
                <w:sz w:val="22"/>
                <w:szCs w:val="22"/>
              </w:rPr>
              <m:t xml:space="preserve">,  </m:t>
            </m:r>
            <m:nary>
              <m:naryPr>
                <m:limLoc m:val="subSup"/>
                <m:ctrlPr>
                  <w:rPr>
                    <w:rFonts w:ascii="Cambria Math" w:hAnsi="Cambria Math" w:cstheme="minorHAnsi"/>
                    <w:i/>
                    <w:sz w:val="22"/>
                    <w:szCs w:val="22"/>
                  </w:rPr>
                </m:ctrlPr>
              </m:naryPr>
              <m:sub>
                <m:r>
                  <w:rPr>
                    <w:rFonts w:ascii="Cambria Math" w:hAnsi="Cambria Math" w:cstheme="minorHAnsi"/>
                    <w:sz w:val="22"/>
                    <w:szCs w:val="22"/>
                  </w:rPr>
                  <m:t>0</m:t>
                </m:r>
              </m:sub>
              <m:sup>
                <m:r>
                  <w:rPr>
                    <w:rFonts w:ascii="Cambria Math" w:hAnsi="Cambria Math" w:cstheme="minorHAnsi"/>
                    <w:sz w:val="22"/>
                    <w:szCs w:val="22"/>
                  </w:rPr>
                  <m:t>π</m:t>
                </m:r>
              </m:sup>
              <m:e>
                <m:r>
                  <w:rPr>
                    <w:rFonts w:ascii="Cambria Math" w:hAnsi="Cambria Math" w:cstheme="minorHAnsi"/>
                    <w:sz w:val="22"/>
                    <w:szCs w:val="22"/>
                  </w:rPr>
                  <m:t xml:space="preserve">cos </m:t>
                </m:r>
                <m:d>
                  <m:dPr>
                    <m:ctrlPr>
                      <w:rPr>
                        <w:rFonts w:ascii="Cambria Math" w:hAnsi="Cambria Math" w:cstheme="minorHAnsi"/>
                        <w:sz w:val="22"/>
                        <w:szCs w:val="22"/>
                      </w:rPr>
                    </m:ctrlPr>
                  </m:dPr>
                  <m:e>
                    <m:r>
                      <m:rPr>
                        <m:sty m:val="p"/>
                      </m:rPr>
                      <w:rPr>
                        <w:rFonts w:ascii="Cambria Math" w:hAnsi="Cambria Math" w:cstheme="minorHAnsi"/>
                        <w:sz w:val="22"/>
                        <w:szCs w:val="22"/>
                      </w:rPr>
                      <m:t>2θ</m:t>
                    </m:r>
                  </m:e>
                </m:d>
                <m:r>
                  <w:rPr>
                    <w:rFonts w:ascii="Cambria Math" w:hAnsi="Cambria Math" w:cstheme="minorHAnsi"/>
                    <w:sz w:val="22"/>
                    <w:szCs w:val="22"/>
                  </w:rPr>
                  <m:t xml:space="preserve"> dθ</m:t>
                </m:r>
              </m:e>
            </m:nary>
          </m:e>
        </m:d>
      </m:oMath>
      <w:r w:rsidR="00437BE5" w:rsidRPr="00A93A6F">
        <w:t>,</w:t>
      </w:r>
      <w:bookmarkEnd w:id="4"/>
    </w:p>
    <w:p w14:paraId="498E8EC4" w14:textId="20559C70" w:rsidR="00437BE5" w:rsidRPr="00A93A6F" w:rsidRDefault="00966F10" w:rsidP="00437BE5">
      <w:pPr>
        <w:pStyle w:val="Legend"/>
        <w:spacing w:line="360" w:lineRule="auto"/>
        <w:jc w:val="both"/>
      </w:pPr>
      <w:r w:rsidRPr="00A93A6F">
        <w:t>with</w:t>
      </w:r>
      <m:oMath>
        <m:r>
          <w:rPr>
            <w:rFonts w:ascii="Cambria Math" w:hAnsi="Cambria Math"/>
          </w:rPr>
          <m:t xml:space="preserve"> θ</m:t>
        </m:r>
      </m:oMath>
      <w:r w:rsidR="00780A42" w:rsidRPr="00A93A6F">
        <w:t>, the angle between the fiber</w:t>
      </w:r>
      <w:r w:rsidR="00437BE5" w:rsidRPr="00A93A6F">
        <w:rPr>
          <w:i/>
        </w:rPr>
        <w:t xml:space="preserve"> </w:t>
      </w:r>
      <w:r w:rsidR="00437BE5" w:rsidRPr="00A93A6F">
        <w:t xml:space="preserve">and the x-axis. Hereafter, the distribution </w:t>
      </w:r>
      <w:r w:rsidR="00F71058" w:rsidRPr="00A93A6F">
        <w:t>was</w:t>
      </w:r>
      <w:r w:rsidR="00437BE5" w:rsidRPr="00A93A6F">
        <w:t xml:space="preserve"> normalized by placing the director in the middle. Following this step, the distribution </w:t>
      </w:r>
      <w:r w:rsidR="00F71058" w:rsidRPr="00A93A6F">
        <w:t xml:space="preserve">was </w:t>
      </w:r>
      <w:r w:rsidR="00437BE5" w:rsidRPr="00A93A6F">
        <w:t xml:space="preserve">fitted using an exponential function </w:t>
      </w:r>
      <w:r w:rsidR="00437BE5" w:rsidRPr="00A93A6F">
        <w:fldChar w:fldCharType="begin" w:fldLock="1"/>
      </w:r>
      <w:r w:rsidR="00ED1620" w:rsidRPr="00A93A6F">
        <w:instrText>ADDIN CSL_CITATION { "citationItems" : [ { "id" : "ITEM-1", "itemData" : { "DOI" : "10.1103/PhysRevE.67.031708", "ISSN" : "1063651X", "PMID" : "12689089", "abstract" : "The orientational distribution function of the nematic phase of suspensions of the semiflexible rodlike virus fd is measured by x-ray diffraction as a function of concentration and ionic strength. X-ray diffraction from a single-domain nematic phase of fd is influenced by interparticle correlations at low angle, while only intraparticle scatter contributes at high angle. Consequently, the angular distribution of the scattered intensity arises from only the single-particle orientational distribution function at high angle but it also includes spatial and orientational correlations at low angle. Experimental measurements of the orientational distribution function from both the interparticle (structure factor) and intraparticle (form factor) scattering were made to test whether the correlations present in interparticle scatter influence the measurement of the single-particle orientational distribution function. It was found that the two types of scatter yield consistent values for the nematic order parameter. It was also found that x-ray diffraction is insensitive to the orientational distribution function\u2019s precise form, and the measured angular intensity distribution is described equally well by both Onsager\u2019s trial function and a Gaussian. At high ionic strength, the order parameter S of the nematic phase coexisting with the isotropic phase approaches theoretical predictions for long semiflexible rods [Formula presented] but deviations from theory increase with decreasing ionic strength. The concentration dependence of the nematic order parameter also better agrees with theoretical predictions at high ionic strength indicating that electrostatic interactions have a measurable effect on the nematic order parameter. The x-ray order parameters are shown to be proportional to the measured birefringence, and the saturation birefringence of fd is determined enabling a simple, inexpensive way to measure the order parameter. Additionally, the spatial ordering of nematic fd was probed. Measurements of the nematic structure factor revealed a single large peak in contrast to nematics of rigid rods. \u00a9 2003 The American Physical Society.", "author" : [ { "dropping-particle" : "", "family" : "Purdy", "given" : "Kirstin R.", "non-dropping-particle" : "", "parse-names" : false, "suffix" : "" }, { "dropping-particle" : "", "family" : "Dogic", "given" : "Zvonimir", "non-dropping-particle" : "", "parse-names" : false, "suffix" : "" }, { "dropping-particle" : "", "family" : "Fraden", "given" : "Seth", "non-dropping-particle" : "", "parse-names" : false, "suffix" : "" }, { "dropping-particle" : "", "family" : "R\u00fchm", "given" : "Adrian", "non-dropping-particle" : "", "parse-names" : false, "suffix" : "" }, { "dropping-particle" : "", "family" : "Lurio", "given" : "Lawrence", "non-dropping-particle" : "", "parse-names" : false, "suffix" : "" }, { "dropping-particle" : "", "family" : "Mochrie", "given" : "Simon G.J.", "non-dropping-particle" : "", "parse-names" : false, "suffix" : "" } ], "container-title" : "Physical Review E - Statistical Physics, Plasmas, Fluids, and Related Interdisciplinary Topics", "id" : "ITEM-1", "issue" : "3", "issued" : { "date-parts" : [ [ "2003" ] ] }, "page" : "12", "publisher" : "Phys Rev E Stat Nonlin Soft Matter Phys", "title" : "Measuring the nematic order of suspensions of colloidal fd virus by x-ray diffraction and optical birefringence", "type" : "article-journal", "volume" : "67" }, "uris" : [ "http://www.mendeley.com/documents/?uuid=e7ee4215-1027-314b-9e24-ed728022453f" ] } ], "mendeley" : { "formattedCitation" : "[45]", "plainTextFormattedCitation" : "[45]", "previouslyFormattedCitation" : "[45]" }, "properties" : { "noteIndex" : 0 }, "schema" : "https://github.com/citation-style-language/schema/raw/master/csl-citation.json" }</w:instrText>
      </w:r>
      <w:r w:rsidR="00437BE5" w:rsidRPr="00A93A6F">
        <w:fldChar w:fldCharType="separate"/>
      </w:r>
      <w:r w:rsidR="00ED1620" w:rsidRPr="00A93A6F">
        <w:rPr>
          <w:noProof/>
        </w:rPr>
        <w:t>[45]</w:t>
      </w:r>
      <w:r w:rsidR="00437BE5" w:rsidRPr="00A93A6F">
        <w:fldChar w:fldCharType="end"/>
      </w:r>
      <w:r w:rsidR="00437BE5" w:rsidRPr="00A93A6F">
        <w:t>:</w:t>
      </w:r>
    </w:p>
    <w:p w14:paraId="7D07CE84" w14:textId="3F92DA40" w:rsidR="00437BE5" w:rsidRPr="00A93A6F" w:rsidRDefault="00437BE5" w:rsidP="00437BE5">
      <w:pPr>
        <w:pStyle w:val="Legend"/>
        <w:spacing w:line="360" w:lineRule="auto"/>
        <w:jc w:val="both"/>
      </w:pPr>
      <m:oMathPara>
        <m:oMath>
          <m:r>
            <w:rPr>
              <w:rFonts w:ascii="Cambria Math" w:hAnsi="Cambria Math"/>
            </w:rPr>
            <m:t>f</m:t>
          </m:r>
          <m:d>
            <m:dPr>
              <m:ctrlPr>
                <w:rPr>
                  <w:rFonts w:ascii="Cambria Math" w:hAnsi="Cambria Math"/>
                </w:rPr>
              </m:ctrlPr>
            </m:dPr>
            <m:e>
              <m:r>
                <w:rPr>
                  <w:rFonts w:ascii="Cambria Math" w:hAnsi="Cambria Math"/>
                </w:rPr>
                <m:t>θ</m:t>
              </m:r>
            </m:e>
          </m:d>
          <m:r>
            <w:rPr>
              <w:rFonts w:ascii="Cambria Math" w:hAnsi="Cambria Math"/>
            </w:rPr>
            <m:t>=α</m:t>
          </m:r>
          <m:sSup>
            <m:sSupPr>
              <m:ctrlPr>
                <w:rPr>
                  <w:rFonts w:ascii="Cambria Math" w:hAnsi="Cambria Math"/>
                </w:rPr>
              </m:ctrlPr>
            </m:sSupPr>
            <m:e>
              <m:r>
                <w:rPr>
                  <w:rFonts w:ascii="Cambria Math" w:hAnsi="Cambria Math"/>
                </w:rPr>
                <m:t xml:space="preserve"> e</m:t>
              </m:r>
            </m:e>
            <m:sup>
              <m:r>
                <w:rPr>
                  <w:rFonts w:ascii="Cambria Math" w:hAnsi="Cambria Math"/>
                </w:rPr>
                <m:t xml:space="preserve">β </m:t>
              </m:r>
              <m:sSup>
                <m:sSupPr>
                  <m:ctrlPr>
                    <w:rPr>
                      <w:rFonts w:ascii="Cambria Math" w:hAnsi="Cambria Math"/>
                    </w:rPr>
                  </m:ctrlPr>
                </m:sSupPr>
                <m:e>
                  <m:r>
                    <w:rPr>
                      <w:rFonts w:ascii="Cambria Math" w:hAnsi="Cambria Math"/>
                    </w:rPr>
                    <m:t>cos</m:t>
                  </m:r>
                </m:e>
                <m:sup>
                  <m:r>
                    <w:rPr>
                      <w:rFonts w:ascii="Cambria Math" w:hAnsi="Cambria Math"/>
                    </w:rPr>
                    <m:t>2</m:t>
                  </m:r>
                </m:sup>
              </m:sSup>
              <m:d>
                <m:dPr>
                  <m:ctrlPr>
                    <w:rPr>
                      <w:rFonts w:ascii="Cambria Math" w:hAnsi="Cambria Math"/>
                      <w:i/>
                    </w:rPr>
                  </m:ctrlPr>
                </m:dPr>
                <m:e>
                  <m:r>
                    <w:rPr>
                      <w:rFonts w:ascii="Cambria Math" w:hAnsi="Cambria Math"/>
                    </w:rPr>
                    <m:t>θ</m:t>
                  </m:r>
                </m:e>
              </m:d>
            </m:sup>
          </m:sSup>
        </m:oMath>
      </m:oMathPara>
    </w:p>
    <w:p w14:paraId="2F8A8B93" w14:textId="0F5F4B4F" w:rsidR="00437BE5" w:rsidRPr="00A93A6F" w:rsidRDefault="00437BE5" w:rsidP="00437BE5">
      <w:pPr>
        <w:pStyle w:val="Legend"/>
        <w:spacing w:line="360" w:lineRule="auto"/>
        <w:jc w:val="both"/>
      </w:pPr>
      <w:r w:rsidRPr="00A93A6F">
        <w:t xml:space="preserve">Here </w:t>
      </w:r>
      <m:oMath>
        <m:r>
          <w:rPr>
            <w:rFonts w:ascii="Cambria Math" w:hAnsi="Cambria Math"/>
          </w:rPr>
          <m:t>α</m:t>
        </m:r>
      </m:oMath>
      <w:r w:rsidRPr="00A93A6F">
        <w:t xml:space="preserve"> and </w:t>
      </w:r>
      <m:oMath>
        <m:r>
          <w:rPr>
            <w:rFonts w:ascii="Cambria Math" w:hAnsi="Cambria Math"/>
          </w:rPr>
          <m:t>β</m:t>
        </m:r>
      </m:oMath>
      <w:r w:rsidRPr="00A93A6F">
        <w:t xml:space="preserve"> indicate the fitting parameters for the model. With this fit</w:t>
      </w:r>
      <w:r w:rsidR="00F71058" w:rsidRPr="00A93A6F">
        <w:t>,</w:t>
      </w:r>
      <w:r w:rsidRPr="00A93A6F">
        <w:t xml:space="preserve"> the 2D order parameter for each plane </w:t>
      </w:r>
      <w:r w:rsidR="00F71058" w:rsidRPr="00A93A6F">
        <w:t xml:space="preserve">was </w:t>
      </w:r>
      <w:r w:rsidRPr="00A93A6F">
        <w:t>calculated:</w:t>
      </w:r>
    </w:p>
    <w:p w14:paraId="0A4B28C7" w14:textId="77777777" w:rsidR="00A21E6F" w:rsidRPr="00A93A6F" w:rsidRDefault="00A21E6F" w:rsidP="00437BE5">
      <w:pPr>
        <w:pStyle w:val="Legend"/>
        <w:spacing w:line="360" w:lineRule="auto"/>
        <w:jc w:val="both"/>
        <w:rPr>
          <w:sz w:val="22"/>
          <w:szCs w:val="22"/>
        </w:rPr>
      </w:pPr>
      <w:bookmarkStart w:id="5" w:name="_heading=h.gjdgxs" w:colFirst="0" w:colLast="0"/>
      <w:bookmarkEnd w:id="5"/>
      <m:oMathPara>
        <m:oMath>
          <m:r>
            <w:rPr>
              <w:rFonts w:ascii="Cambria Math" w:hAnsi="Cambria Math" w:cstheme="minorHAnsi"/>
              <w:sz w:val="22"/>
              <w:szCs w:val="22"/>
            </w:rPr>
            <m:t xml:space="preserve">S=2 </m:t>
          </m:r>
          <m:d>
            <m:dPr>
              <m:begChr m:val="["/>
              <m:endChr m:val="]"/>
              <m:ctrlPr>
                <w:rPr>
                  <w:rFonts w:ascii="Cambria Math" w:hAnsi="Cambria Math" w:cstheme="minorHAnsi"/>
                  <w:sz w:val="22"/>
                  <w:szCs w:val="22"/>
                </w:rPr>
              </m:ctrlPr>
            </m:dPr>
            <m:e>
              <m:nary>
                <m:naryPr>
                  <m:limLoc m:val="subSup"/>
                  <m:ctrlPr>
                    <w:rPr>
                      <w:rFonts w:ascii="Cambria Math" w:hAnsi="Cambria Math" w:cstheme="minorHAnsi"/>
                      <w:i/>
                      <w:sz w:val="22"/>
                      <w:szCs w:val="22"/>
                    </w:rPr>
                  </m:ctrlPr>
                </m:naryPr>
                <m:sub>
                  <m:r>
                    <w:rPr>
                      <w:rFonts w:ascii="Cambria Math" w:hAnsi="Cambria Math" w:cstheme="minorHAnsi"/>
                      <w:sz w:val="22"/>
                      <w:szCs w:val="22"/>
                    </w:rPr>
                    <m:t>0</m:t>
                  </m:r>
                </m:sub>
                <m:sup>
                  <m:r>
                    <w:rPr>
                      <w:rFonts w:ascii="Cambria Math" w:hAnsi="Cambria Math" w:cstheme="minorHAnsi"/>
                      <w:sz w:val="22"/>
                      <w:szCs w:val="22"/>
                    </w:rPr>
                    <m:t>π</m:t>
                  </m:r>
                </m:sup>
                <m:e>
                  <m:sSup>
                    <m:sSupPr>
                      <m:ctrlPr>
                        <w:rPr>
                          <w:rFonts w:ascii="Cambria Math" w:hAnsi="Cambria Math" w:cstheme="minorHAnsi"/>
                          <w:sz w:val="22"/>
                          <w:szCs w:val="22"/>
                        </w:rPr>
                      </m:ctrlPr>
                    </m:sSupPr>
                    <m:e>
                      <m:r>
                        <w:rPr>
                          <w:rFonts w:ascii="Cambria Math" w:hAnsi="Cambria Math" w:cstheme="minorHAnsi"/>
                          <w:sz w:val="22"/>
                          <w:szCs w:val="22"/>
                        </w:rPr>
                        <m:t>cos</m:t>
                      </m:r>
                    </m:e>
                    <m:sup>
                      <m:r>
                        <w:rPr>
                          <w:rFonts w:ascii="Cambria Math" w:hAnsi="Cambria Math" w:cstheme="minorHAnsi"/>
                          <w:sz w:val="22"/>
                          <w:szCs w:val="22"/>
                        </w:rPr>
                        <m:t>2</m:t>
                      </m:r>
                    </m:sup>
                  </m:sSup>
                  <m:d>
                    <m:dPr>
                      <m:ctrlPr>
                        <w:rPr>
                          <w:rFonts w:ascii="Cambria Math" w:hAnsi="Cambria Math" w:cstheme="minorHAnsi"/>
                          <w:sz w:val="22"/>
                          <w:szCs w:val="22"/>
                        </w:rPr>
                      </m:ctrlPr>
                    </m:dPr>
                    <m:e>
                      <m:r>
                        <w:rPr>
                          <w:rFonts w:ascii="Cambria Math" w:hAnsi="Cambria Math" w:cstheme="minorHAnsi"/>
                          <w:sz w:val="22"/>
                          <w:szCs w:val="22"/>
                        </w:rPr>
                        <m:t xml:space="preserve">θ- </m:t>
                      </m:r>
                      <m:sSup>
                        <m:sSupPr>
                          <m:ctrlPr>
                            <w:rPr>
                              <w:rFonts w:ascii="Cambria Math" w:hAnsi="Cambria Math" w:cstheme="minorHAnsi"/>
                              <w:sz w:val="22"/>
                              <w:szCs w:val="22"/>
                            </w:rPr>
                          </m:ctrlPr>
                        </m:sSupPr>
                        <m:e>
                          <m:r>
                            <w:rPr>
                              <w:rFonts w:ascii="Cambria Math" w:hAnsi="Cambria Math" w:cstheme="minorHAnsi"/>
                              <w:sz w:val="22"/>
                              <w:szCs w:val="22"/>
                            </w:rPr>
                            <m:t>θ</m:t>
                          </m:r>
                        </m:e>
                        <m:sup>
                          <m:r>
                            <w:rPr>
                              <w:rFonts w:ascii="Cambria Math" w:hAnsi="Cambria Math" w:cstheme="minorHAnsi"/>
                              <w:sz w:val="22"/>
                              <w:szCs w:val="22"/>
                            </w:rPr>
                            <m:t>*</m:t>
                          </m:r>
                        </m:sup>
                      </m:sSup>
                    </m:e>
                  </m:d>
                  <m:r>
                    <w:rPr>
                      <w:rFonts w:ascii="Cambria Math" w:hAnsi="Cambria Math" w:cstheme="minorHAnsi"/>
                      <w:sz w:val="22"/>
                      <w:szCs w:val="22"/>
                    </w:rPr>
                    <m:t>f</m:t>
                  </m:r>
                  <m:d>
                    <m:dPr>
                      <m:ctrlPr>
                        <w:rPr>
                          <w:rFonts w:ascii="Cambria Math" w:hAnsi="Cambria Math" w:cstheme="minorHAnsi"/>
                          <w:i/>
                          <w:sz w:val="22"/>
                          <w:szCs w:val="22"/>
                        </w:rPr>
                      </m:ctrlPr>
                    </m:dPr>
                    <m:e>
                      <m:r>
                        <m:rPr>
                          <m:sty m:val="p"/>
                        </m:rPr>
                        <w:rPr>
                          <w:rFonts w:ascii="Cambria Math" w:hAnsi="Cambria Math" w:cstheme="minorHAnsi"/>
                          <w:sz w:val="22"/>
                          <w:szCs w:val="22"/>
                        </w:rPr>
                        <m:t>θ</m:t>
                      </m:r>
                    </m:e>
                  </m:d>
                  <m:r>
                    <w:rPr>
                      <w:rFonts w:ascii="Cambria Math" w:hAnsi="Cambria Math" w:cstheme="minorHAnsi"/>
                      <w:sz w:val="22"/>
                      <w:szCs w:val="22"/>
                    </w:rPr>
                    <m:t xml:space="preserve"> dθ</m:t>
                  </m:r>
                </m:e>
              </m:nary>
            </m:e>
          </m:d>
          <m:r>
            <w:rPr>
              <w:rFonts w:ascii="Cambria Math" w:hAnsi="Cambria Math" w:cstheme="minorHAnsi"/>
              <w:sz w:val="22"/>
              <w:szCs w:val="22"/>
            </w:rPr>
            <m:t>-1</m:t>
          </m:r>
        </m:oMath>
      </m:oMathPara>
    </w:p>
    <w:p w14:paraId="74128D43" w14:textId="25178F1F" w:rsidR="00437BE5" w:rsidRPr="00A93A6F" w:rsidRDefault="00437BE5" w:rsidP="00437BE5">
      <w:pPr>
        <w:pStyle w:val="Legend"/>
        <w:spacing w:line="360" w:lineRule="auto"/>
        <w:jc w:val="both"/>
      </w:pPr>
      <w:r w:rsidRPr="00A93A6F">
        <w:t xml:space="preserve">Next, the average </w:t>
      </w:r>
      <m:oMath>
        <m:sSub>
          <m:sSubPr>
            <m:ctrlPr>
              <w:rPr>
                <w:rFonts w:ascii="Cambria Math" w:hAnsi="Cambria Math"/>
                <w:i/>
              </w:rPr>
            </m:ctrlPr>
          </m:sSubPr>
          <m:e>
            <m:d>
              <m:dPr>
                <m:begChr m:val="〈"/>
                <m:endChr m:val="〉"/>
                <m:ctrlPr>
                  <w:rPr>
                    <w:rFonts w:ascii="Cambria Math" w:hAnsi="Cambria Math"/>
                    <w:i/>
                  </w:rPr>
                </m:ctrlPr>
              </m:dPr>
              <m:e>
                <m:r>
                  <w:rPr>
                    <w:rFonts w:ascii="Cambria Math" w:hAnsi="Cambria Math"/>
                  </w:rPr>
                  <m:t>S</m:t>
                </m:r>
                <m:d>
                  <m:dPr>
                    <m:ctrlPr>
                      <w:rPr>
                        <w:rFonts w:ascii="Cambria Math" w:hAnsi="Cambria Math"/>
                      </w:rPr>
                    </m:ctrlPr>
                  </m:dPr>
                  <m:e>
                    <m:r>
                      <w:rPr>
                        <w:rFonts w:ascii="Cambria Math" w:hAnsi="Cambria Math"/>
                      </w:rPr>
                      <m:t>r</m:t>
                    </m:r>
                  </m:e>
                </m:d>
              </m:e>
            </m:d>
          </m:e>
          <m:sub>
            <m:r>
              <w:rPr>
                <w:rFonts w:ascii="Cambria Math" w:hAnsi="Cambria Math"/>
              </w:rPr>
              <m:t>z</m:t>
            </m:r>
          </m:sub>
        </m:sSub>
      </m:oMath>
      <w:r w:rsidR="00D17870" w:rsidRPr="00A93A6F">
        <w:t xml:space="preserve"> </w:t>
      </w:r>
      <w:r w:rsidRPr="00A93A6F">
        <w:t xml:space="preserve">over the entire depth </w:t>
      </w:r>
      <w:r w:rsidR="00F71058" w:rsidRPr="00A93A6F">
        <w:t xml:space="preserve">was </w:t>
      </w:r>
      <w:r w:rsidRPr="00A93A6F">
        <w:t xml:space="preserve">taken. To relate this parameter to the macroscopic </w:t>
      </w:r>
      <m:oMath>
        <m:r>
          <w:rPr>
            <w:rFonts w:ascii="Cambria Math" w:hAnsi="Cambria Math"/>
          </w:rPr>
          <m:t>γ</m:t>
        </m:r>
      </m:oMath>
      <w:r w:rsidRPr="00A93A6F">
        <w:t xml:space="preserve"> the radial profile </w:t>
      </w:r>
      <w:r w:rsidR="00F71058" w:rsidRPr="00A93A6F">
        <w:t xml:space="preserve">had </w:t>
      </w:r>
      <w:r w:rsidRPr="00A93A6F">
        <w:t>to be corrected</w:t>
      </w:r>
      <w:r w:rsidR="001B1C20" w:rsidRPr="00A93A6F">
        <w:t xml:space="preserve"> </w:t>
      </w:r>
      <w:r w:rsidR="00F71058" w:rsidRPr="00A93A6F">
        <w:t xml:space="preserve">since </w:t>
      </w:r>
      <w:r w:rsidR="001B1C20" w:rsidRPr="00A93A6F">
        <w:t>a plate-plate geometry</w:t>
      </w:r>
      <w:r w:rsidR="00F71058" w:rsidRPr="00A93A6F">
        <w:t xml:space="preserve"> was used</w:t>
      </w:r>
      <w:r w:rsidRPr="00A93A6F">
        <w:t xml:space="preserve">. This </w:t>
      </w:r>
      <w:r w:rsidR="00F71058" w:rsidRPr="00A93A6F">
        <w:t xml:space="preserve">was </w:t>
      </w:r>
      <w:r w:rsidRPr="00A93A6F">
        <w:t xml:space="preserve">done by applying a correction factor: </w:t>
      </w:r>
    </w:p>
    <w:p w14:paraId="06C24A24" w14:textId="77777777" w:rsidR="00437BE5" w:rsidRPr="00A93A6F" w:rsidRDefault="00000000" w:rsidP="00437BE5">
      <w:pPr>
        <w:pStyle w:val="Legend"/>
        <w:spacing w:line="360" w:lineRule="auto"/>
        <w:jc w:val="both"/>
      </w:pPr>
      <m:oMathPara>
        <m:oMath>
          <m:sSub>
            <m:sSubPr>
              <m:ctrlPr>
                <w:rPr>
                  <w:rFonts w:ascii="Cambria Math" w:hAnsi="Cambria Math"/>
                  <w:i/>
                </w:rPr>
              </m:ctrlPr>
            </m:sSubPr>
            <m:e>
              <m:d>
                <m:dPr>
                  <m:begChr m:val="〈"/>
                  <m:endChr m:val="〉"/>
                  <m:ctrlPr>
                    <w:rPr>
                      <w:rFonts w:ascii="Cambria Math" w:hAnsi="Cambria Math"/>
                      <w:i/>
                    </w:rPr>
                  </m:ctrlPr>
                </m:dPr>
                <m:e>
                  <m:r>
                    <w:rPr>
                      <w:rFonts w:ascii="Cambria Math" w:hAnsi="Cambria Math"/>
                    </w:rPr>
                    <m:t>S</m:t>
                  </m:r>
                  <m:d>
                    <m:dPr>
                      <m:ctrlPr>
                        <w:rPr>
                          <w:rFonts w:ascii="Cambria Math" w:hAnsi="Cambria Math"/>
                        </w:rPr>
                      </m:ctrlPr>
                    </m:dPr>
                    <m:e>
                      <m:r>
                        <w:rPr>
                          <w:rFonts w:ascii="Cambria Math" w:hAnsi="Cambria Math"/>
                        </w:rPr>
                        <m:t>r</m:t>
                      </m:r>
                    </m:e>
                  </m:d>
                </m:e>
              </m:d>
            </m:e>
            <m:sub>
              <m:r>
                <w:rPr>
                  <w:rFonts w:ascii="Cambria Math" w:hAnsi="Cambria Math"/>
                </w:rPr>
                <m:t>z</m:t>
              </m:r>
            </m:sub>
          </m:sSub>
          <m:r>
            <w:rPr>
              <w:rFonts w:ascii="Cambria Math" w:hAnsi="Cambria Math"/>
            </w:rPr>
            <m:t xml:space="preserve"> </m:t>
          </m:r>
          <m:sSub>
            <m:sSubPr>
              <m:ctrlPr>
                <w:rPr>
                  <w:rFonts w:ascii="Cambria Math" w:hAnsi="Cambria Math"/>
                </w:rPr>
              </m:ctrlPr>
            </m:sSubPr>
            <m:e>
              <m:r>
                <w:rPr>
                  <w:rFonts w:ascii="Cambria Math" w:hAnsi="Cambria Math"/>
                </w:rPr>
                <m:t>γ</m:t>
              </m:r>
            </m:e>
            <m:sub>
              <m:r>
                <w:rPr>
                  <w:rFonts w:ascii="Cambria Math" w:hAnsi="Cambria Math"/>
                </w:rPr>
                <m:t>cor</m:t>
              </m:r>
            </m:sub>
          </m:sSub>
          <m:d>
            <m:dPr>
              <m:ctrlPr>
                <w:rPr>
                  <w:rFonts w:ascii="Cambria Math" w:hAnsi="Cambria Math"/>
                </w:rPr>
              </m:ctrlPr>
            </m:dPr>
            <m:e>
              <m:r>
                <w:rPr>
                  <w:rFonts w:ascii="Cambria Math" w:hAnsi="Cambria Math"/>
                </w:rPr>
                <m:t>r,R</m:t>
              </m:r>
            </m:e>
          </m:d>
          <m:r>
            <w:rPr>
              <w:rFonts w:ascii="Cambria Math" w:hAnsi="Cambria Math"/>
            </w:rPr>
            <m:t xml:space="preserve">= </m:t>
          </m:r>
          <m:sSub>
            <m:sSubPr>
              <m:ctrlPr>
                <w:rPr>
                  <w:rFonts w:ascii="Cambria Math" w:hAnsi="Cambria Math"/>
                  <w:i/>
                </w:rPr>
              </m:ctrlPr>
            </m:sSubPr>
            <m:e>
              <m:d>
                <m:dPr>
                  <m:begChr m:val="〈"/>
                  <m:endChr m:val="〉"/>
                  <m:ctrlPr>
                    <w:rPr>
                      <w:rFonts w:ascii="Cambria Math" w:hAnsi="Cambria Math"/>
                      <w:i/>
                    </w:rPr>
                  </m:ctrlPr>
                </m:dPr>
                <m:e>
                  <m:r>
                    <w:rPr>
                      <w:rFonts w:ascii="Cambria Math" w:hAnsi="Cambria Math"/>
                    </w:rPr>
                    <m:t>S</m:t>
                  </m:r>
                  <m:d>
                    <m:dPr>
                      <m:ctrlPr>
                        <w:rPr>
                          <w:rFonts w:ascii="Cambria Math" w:hAnsi="Cambria Math"/>
                        </w:rPr>
                      </m:ctrlPr>
                    </m:dPr>
                    <m:e>
                      <m:r>
                        <w:rPr>
                          <w:rFonts w:ascii="Cambria Math" w:hAnsi="Cambria Math"/>
                        </w:rPr>
                        <m:t>r</m:t>
                      </m:r>
                    </m:e>
                  </m:d>
                </m:e>
              </m:d>
            </m:e>
            <m:sub>
              <m:r>
                <w:rPr>
                  <w:rFonts w:ascii="Cambria Math" w:hAnsi="Cambria Math"/>
                </w:rPr>
                <m:t>z</m:t>
              </m:r>
            </m:sub>
          </m:sSub>
          <m:r>
            <w:rPr>
              <w:rFonts w:ascii="Cambria Math" w:hAnsi="Cambria Math"/>
            </w:rPr>
            <m:t xml:space="preserve"> </m:t>
          </m:r>
          <m:f>
            <m:fPr>
              <m:ctrlPr>
                <w:rPr>
                  <w:rFonts w:ascii="Cambria Math" w:hAnsi="Cambria Math"/>
                </w:rPr>
              </m:ctrlPr>
            </m:fPr>
            <m:num>
              <m:r>
                <w:rPr>
                  <w:rFonts w:ascii="Cambria Math" w:hAnsi="Cambria Math"/>
                </w:rPr>
                <m:t>r</m:t>
              </m:r>
            </m:num>
            <m:den>
              <m:r>
                <w:rPr>
                  <w:rFonts w:ascii="Cambria Math" w:hAnsi="Cambria Math"/>
                </w:rPr>
                <m:t>R</m:t>
              </m:r>
            </m:den>
          </m:f>
        </m:oMath>
      </m:oMathPara>
    </w:p>
    <w:p w14:paraId="66A2F1DC" w14:textId="50278BFD" w:rsidR="00437BE5" w:rsidRPr="00A93A6F" w:rsidRDefault="00437BE5" w:rsidP="00437BE5">
      <w:pPr>
        <w:pStyle w:val="Legend"/>
        <w:spacing w:line="360" w:lineRule="auto"/>
        <w:jc w:val="both"/>
      </w:pPr>
      <w:r w:rsidRPr="00A93A6F">
        <w:t xml:space="preserve">with </w:t>
      </w:r>
      <m:oMath>
        <m:r>
          <w:rPr>
            <w:rFonts w:ascii="Cambria Math" w:hAnsi="Cambria Math"/>
          </w:rPr>
          <m:t>R</m:t>
        </m:r>
      </m:oMath>
      <w:r w:rsidR="00F71058" w:rsidRPr="00A93A6F">
        <w:t xml:space="preserve">, </w:t>
      </w:r>
      <w:r w:rsidRPr="00A93A6F">
        <w:t xml:space="preserve">the radius of the cylindrical sample. To relate this to a single indicative parameter per sample, the profile </w:t>
      </w:r>
      <w:r w:rsidR="00F71058" w:rsidRPr="00A93A6F">
        <w:t xml:space="preserve">was </w:t>
      </w:r>
      <w:r w:rsidRPr="00A93A6F">
        <w:t>integrated over a specific radial plane and normalize</w:t>
      </w:r>
      <w:r w:rsidR="00403408" w:rsidRPr="00A93A6F">
        <w:t xml:space="preserve">d. </w:t>
      </w:r>
      <w:r w:rsidRPr="00A93A6F">
        <w:t>In this way, for each sample a comparable average order parameter (</w:t>
      </w:r>
      <m:oMath>
        <m:acc>
          <m:accPr>
            <m:chr m:val="̅"/>
            <m:ctrlPr>
              <w:rPr>
                <w:rFonts w:ascii="Cambria Math" w:hAnsi="Cambria Math"/>
                <w:i/>
              </w:rPr>
            </m:ctrlPr>
          </m:accPr>
          <m:e>
            <m:r>
              <w:rPr>
                <w:rFonts w:ascii="Cambria Math" w:hAnsi="Cambria Math"/>
              </w:rPr>
              <m:t>S</m:t>
            </m:r>
          </m:e>
        </m:acc>
      </m:oMath>
      <w:r w:rsidRPr="00A93A6F">
        <w:t xml:space="preserve">) </w:t>
      </w:r>
      <w:r w:rsidR="00F71058" w:rsidRPr="00A93A6F">
        <w:t>was</w:t>
      </w:r>
      <w:r w:rsidRPr="00A93A6F">
        <w:t xml:space="preserve"> obtained:</w:t>
      </w:r>
    </w:p>
    <w:p w14:paraId="14257A43" w14:textId="77777777" w:rsidR="00437BE5" w:rsidRPr="00A93A6F" w:rsidRDefault="00437BE5" w:rsidP="00437BE5">
      <w:pPr>
        <w:pStyle w:val="Legend"/>
        <w:spacing w:line="360" w:lineRule="auto"/>
        <w:jc w:val="both"/>
      </w:pPr>
      <m:oMathPara>
        <m:oMath>
          <m:r>
            <w:rPr>
              <w:rFonts w:ascii="Cambria Math" w:hAnsi="Cambria Math"/>
            </w:rPr>
            <m:t> </m:t>
          </m:r>
          <m:acc>
            <m:accPr>
              <m:chr m:val="̅"/>
              <m:ctrlPr>
                <w:rPr>
                  <w:rFonts w:ascii="Cambria Math" w:hAnsi="Cambria Math"/>
                  <w:i/>
                </w:rPr>
              </m:ctrlPr>
            </m:accPr>
            <m:e>
              <m:r>
                <w:rPr>
                  <w:rFonts w:ascii="Cambria Math" w:hAnsi="Cambria Math"/>
                </w:rPr>
                <m:t>S</m:t>
              </m:r>
            </m:e>
          </m:acc>
          <m:r>
            <w:rPr>
              <w:rFonts w:ascii="Cambria Math" w:hAnsi="Cambria Math"/>
            </w:rPr>
            <m:t xml:space="preserve">= </m:t>
          </m:r>
          <m:f>
            <m:fPr>
              <m:ctrlPr>
                <w:rPr>
                  <w:rFonts w:ascii="Cambria Math" w:hAnsi="Cambria Math"/>
                </w:rPr>
              </m:ctrlPr>
            </m:fPr>
            <m:num>
              <m:nary>
                <m:naryPr>
                  <m:ctrlPr>
                    <w:rPr>
                      <w:rFonts w:ascii="Cambria Math" w:hAnsi="Cambria Math"/>
                    </w:rPr>
                  </m:ctrlPr>
                </m:naryPr>
                <m:sub>
                  <m:r>
                    <w:rPr>
                      <w:rFonts w:ascii="Cambria Math" w:hAnsi="Cambria Math"/>
                    </w:rPr>
                    <m:t>0</m:t>
                  </m:r>
                </m:sub>
                <m:sup>
                  <m:sSup>
                    <m:sSupPr>
                      <m:ctrlPr>
                        <w:rPr>
                          <w:rFonts w:ascii="Cambria Math" w:hAnsi="Cambria Math"/>
                          <w:i/>
                        </w:rPr>
                      </m:ctrlPr>
                    </m:sSupPr>
                    <m:e>
                      <m:r>
                        <w:rPr>
                          <w:rFonts w:ascii="Cambria Math" w:hAnsi="Cambria Math"/>
                        </w:rPr>
                        <m:t>R</m:t>
                      </m:r>
                    </m:e>
                    <m:sup>
                      <m:r>
                        <w:rPr>
                          <w:rFonts w:ascii="Cambria Math" w:hAnsi="Cambria Math"/>
                        </w:rPr>
                        <m:t>'</m:t>
                      </m:r>
                    </m:sup>
                  </m:sSup>
                </m:sup>
                <m:e>
                  <m:sSub>
                    <m:sSubPr>
                      <m:ctrlPr>
                        <w:rPr>
                          <w:rFonts w:ascii="Cambria Math" w:hAnsi="Cambria Math"/>
                          <w:i/>
                        </w:rPr>
                      </m:ctrlPr>
                    </m:sSubPr>
                    <m:e>
                      <m:d>
                        <m:dPr>
                          <m:begChr m:val="〈"/>
                          <m:endChr m:val="〉"/>
                          <m:ctrlPr>
                            <w:rPr>
                              <w:rFonts w:ascii="Cambria Math" w:hAnsi="Cambria Math"/>
                              <w:i/>
                            </w:rPr>
                          </m:ctrlPr>
                        </m:dPr>
                        <m:e>
                          <m:r>
                            <w:rPr>
                              <w:rFonts w:ascii="Cambria Math" w:hAnsi="Cambria Math"/>
                            </w:rPr>
                            <m:t>S</m:t>
                          </m:r>
                          <m:d>
                            <m:dPr>
                              <m:ctrlPr>
                                <w:rPr>
                                  <w:rFonts w:ascii="Cambria Math" w:hAnsi="Cambria Math"/>
                                </w:rPr>
                              </m:ctrlPr>
                            </m:dPr>
                            <m:e>
                              <m:r>
                                <w:rPr>
                                  <w:rFonts w:ascii="Cambria Math" w:hAnsi="Cambria Math"/>
                                </w:rPr>
                                <m:t>r</m:t>
                              </m:r>
                            </m:e>
                          </m:d>
                        </m:e>
                      </m:d>
                    </m:e>
                    <m:sub>
                      <m:r>
                        <w:rPr>
                          <w:rFonts w:ascii="Cambria Math" w:hAnsi="Cambria Math"/>
                        </w:rPr>
                        <m:t>z</m:t>
                      </m:r>
                    </m:sub>
                  </m:sSub>
                  <m:r>
                    <w:rPr>
                      <w:rFonts w:ascii="Cambria Math" w:hAnsi="Cambria Math"/>
                    </w:rPr>
                    <m:t xml:space="preserve"> </m:t>
                  </m:r>
                  <m:sSub>
                    <m:sSubPr>
                      <m:ctrlPr>
                        <w:rPr>
                          <w:rFonts w:ascii="Cambria Math" w:hAnsi="Cambria Math"/>
                        </w:rPr>
                      </m:ctrlPr>
                    </m:sSubPr>
                    <m:e>
                      <m:r>
                        <w:rPr>
                          <w:rFonts w:ascii="Cambria Math" w:hAnsi="Cambria Math"/>
                        </w:rPr>
                        <m:t>γ</m:t>
                      </m:r>
                    </m:e>
                    <m:sub>
                      <m:r>
                        <w:rPr>
                          <w:rFonts w:ascii="Cambria Math" w:hAnsi="Cambria Math"/>
                        </w:rPr>
                        <m:t>cor</m:t>
                      </m:r>
                    </m:sub>
                  </m:sSub>
                  <m:d>
                    <m:dPr>
                      <m:ctrlPr>
                        <w:rPr>
                          <w:rFonts w:ascii="Cambria Math" w:hAnsi="Cambria Math"/>
                        </w:rPr>
                      </m:ctrlPr>
                    </m:dPr>
                    <m:e>
                      <m:r>
                        <w:rPr>
                          <w:rFonts w:ascii="Cambria Math" w:hAnsi="Cambria Math"/>
                        </w:rPr>
                        <m:t>r,R</m:t>
                      </m:r>
                    </m:e>
                  </m:d>
                  <m:r>
                    <w:rPr>
                      <w:rFonts w:ascii="Cambria Math" w:hAnsi="Cambria Math"/>
                    </w:rPr>
                    <m:t xml:space="preserve"> dr</m:t>
                  </m:r>
                </m:e>
              </m:nary>
            </m:num>
            <m:den>
              <m:nary>
                <m:naryPr>
                  <m:ctrlPr>
                    <w:rPr>
                      <w:rFonts w:ascii="Cambria Math" w:hAnsi="Cambria Math"/>
                    </w:rPr>
                  </m:ctrlPr>
                </m:naryPr>
                <m:sub>
                  <m:r>
                    <w:rPr>
                      <w:rFonts w:ascii="Cambria Math" w:hAnsi="Cambria Math"/>
                    </w:rPr>
                    <m:t>0</m:t>
                  </m:r>
                </m:sub>
                <m:sup>
                  <m:sSup>
                    <m:sSupPr>
                      <m:ctrlPr>
                        <w:rPr>
                          <w:rFonts w:ascii="Cambria Math" w:hAnsi="Cambria Math"/>
                          <w:i/>
                        </w:rPr>
                      </m:ctrlPr>
                    </m:sSupPr>
                    <m:e>
                      <m:r>
                        <w:rPr>
                          <w:rFonts w:ascii="Cambria Math" w:hAnsi="Cambria Math"/>
                        </w:rPr>
                        <m:t>R</m:t>
                      </m:r>
                    </m:e>
                    <m:sup>
                      <m:r>
                        <w:rPr>
                          <w:rFonts w:ascii="Cambria Math" w:hAnsi="Cambria Math"/>
                        </w:rPr>
                        <m:t>'</m:t>
                      </m:r>
                    </m:sup>
                  </m:sSup>
                </m:sup>
                <m:e>
                  <m:sSub>
                    <m:sSubPr>
                      <m:ctrlPr>
                        <w:rPr>
                          <w:rFonts w:ascii="Cambria Math" w:hAnsi="Cambria Math"/>
                        </w:rPr>
                      </m:ctrlPr>
                    </m:sSubPr>
                    <m:e>
                      <m:r>
                        <w:rPr>
                          <w:rFonts w:ascii="Cambria Math" w:hAnsi="Cambria Math"/>
                        </w:rPr>
                        <m:t>γ</m:t>
                      </m:r>
                    </m:e>
                    <m:sub>
                      <m:r>
                        <w:rPr>
                          <w:rFonts w:ascii="Cambria Math" w:hAnsi="Cambria Math"/>
                        </w:rPr>
                        <m:t>cor</m:t>
                      </m:r>
                    </m:sub>
                  </m:sSub>
                  <m:d>
                    <m:dPr>
                      <m:ctrlPr>
                        <w:rPr>
                          <w:rFonts w:ascii="Cambria Math" w:hAnsi="Cambria Math"/>
                        </w:rPr>
                      </m:ctrlPr>
                    </m:dPr>
                    <m:e>
                      <m:r>
                        <w:rPr>
                          <w:rFonts w:ascii="Cambria Math" w:hAnsi="Cambria Math"/>
                        </w:rPr>
                        <m:t>r,R</m:t>
                      </m:r>
                    </m:e>
                  </m:d>
                  <m:r>
                    <w:rPr>
                      <w:rFonts w:ascii="Cambria Math" w:hAnsi="Cambria Math"/>
                    </w:rPr>
                    <m:t xml:space="preserve"> dr</m:t>
                  </m:r>
                </m:e>
              </m:nary>
              <m:r>
                <w:rPr>
                  <w:rFonts w:ascii="Cambria Math" w:hAnsi="Cambria Math"/>
                </w:rPr>
                <m:t xml:space="preserve"> </m:t>
              </m:r>
            </m:den>
          </m:f>
        </m:oMath>
      </m:oMathPara>
    </w:p>
    <w:p w14:paraId="7CD0210C" w14:textId="24C3D776" w:rsidR="00437BE5" w:rsidRPr="00A93A6F" w:rsidRDefault="00437BE5" w:rsidP="00437BE5">
      <w:pPr>
        <w:pStyle w:val="Legend"/>
        <w:spacing w:line="360" w:lineRule="auto"/>
        <w:jc w:val="both"/>
      </w:pPr>
      <w:r w:rsidRPr="00A93A6F">
        <w:lastRenderedPageBreak/>
        <w:t xml:space="preserve">Furthermore, </w:t>
      </w:r>
      <m:oMath>
        <m:acc>
          <m:accPr>
            <m:chr m:val="̅"/>
            <m:ctrlPr>
              <w:rPr>
                <w:rFonts w:ascii="Cambria Math" w:hAnsi="Cambria Math"/>
                <w:i/>
              </w:rPr>
            </m:ctrlPr>
          </m:accPr>
          <m:e>
            <m:r>
              <w:rPr>
                <w:rFonts w:ascii="Cambria Math" w:hAnsi="Cambria Math"/>
              </w:rPr>
              <m:t>S</m:t>
            </m:r>
          </m:e>
        </m:acc>
      </m:oMath>
      <w:r w:rsidRPr="00A93A6F">
        <w:t xml:space="preserve"> depends on the radial interval (</w:t>
      </w:r>
      <m:oMath>
        <m:sSup>
          <m:sSupPr>
            <m:ctrlPr>
              <w:rPr>
                <w:rFonts w:ascii="Cambria Math" w:hAnsi="Cambria Math"/>
                <w:i/>
              </w:rPr>
            </m:ctrlPr>
          </m:sSupPr>
          <m:e>
            <m:r>
              <w:rPr>
                <w:rFonts w:ascii="Cambria Math" w:hAnsi="Cambria Math"/>
              </w:rPr>
              <m:t>R</m:t>
            </m:r>
          </m:e>
          <m:sup>
            <m:r>
              <w:rPr>
                <w:rFonts w:ascii="Cambria Math" w:hAnsi="Cambria Math"/>
              </w:rPr>
              <m:t>'</m:t>
            </m:r>
          </m:sup>
        </m:sSup>
      </m:oMath>
      <w:r w:rsidRPr="00A93A6F">
        <w:t>) over which it is calculated (</w:t>
      </w:r>
      <w:r w:rsidR="00481187" w:rsidRPr="00A93A6F">
        <w:rPr>
          <w:b/>
        </w:rPr>
        <w:t>Figure S</w:t>
      </w:r>
      <w:r w:rsidR="00602FFE" w:rsidRPr="00A93A6F">
        <w:rPr>
          <w:b/>
        </w:rPr>
        <w:t>4</w:t>
      </w:r>
      <w:r w:rsidRPr="00A93A6F">
        <w:t>). All analyses were performed using MATLAB® 2021a.</w:t>
      </w:r>
    </w:p>
    <w:p w14:paraId="5790B8DA" w14:textId="77777777" w:rsidR="00437BE5" w:rsidRPr="00A93A6F" w:rsidRDefault="00437BE5" w:rsidP="00437BE5">
      <w:pPr>
        <w:pStyle w:val="Legend"/>
        <w:spacing w:line="360" w:lineRule="auto"/>
        <w:jc w:val="both"/>
      </w:pPr>
    </w:p>
    <w:p w14:paraId="661067D2" w14:textId="6E49D0F6" w:rsidR="00437BE5" w:rsidRPr="00A93A6F" w:rsidRDefault="00437BE5" w:rsidP="00437BE5">
      <w:pPr>
        <w:pStyle w:val="Legend"/>
        <w:spacing w:line="360" w:lineRule="auto"/>
        <w:jc w:val="both"/>
        <w:rPr>
          <w:b/>
          <w:bCs/>
        </w:rPr>
      </w:pPr>
      <w:r w:rsidRPr="00A93A6F">
        <w:rPr>
          <w:b/>
          <w:bCs/>
        </w:rPr>
        <w:t>2.6 Cell culturing</w:t>
      </w:r>
      <w:r w:rsidR="00FA244D" w:rsidRPr="00A93A6F">
        <w:rPr>
          <w:b/>
          <w:bCs/>
        </w:rPr>
        <w:t xml:space="preserve">, </w:t>
      </w:r>
      <w:r w:rsidRPr="00A93A6F">
        <w:rPr>
          <w:b/>
          <w:bCs/>
        </w:rPr>
        <w:t>viability</w:t>
      </w:r>
      <w:r w:rsidR="00FA244D" w:rsidRPr="00A93A6F">
        <w:rPr>
          <w:b/>
          <w:bCs/>
        </w:rPr>
        <w:t xml:space="preserve"> and </w:t>
      </w:r>
      <w:r w:rsidR="00872132" w:rsidRPr="00A93A6F">
        <w:rPr>
          <w:b/>
          <w:bCs/>
        </w:rPr>
        <w:t>morphology</w:t>
      </w:r>
      <w:r w:rsidR="00FA244D" w:rsidRPr="00A93A6F">
        <w:rPr>
          <w:b/>
          <w:bCs/>
        </w:rPr>
        <w:t xml:space="preserve"> </w:t>
      </w:r>
    </w:p>
    <w:p w14:paraId="1E6BE152" w14:textId="1194DA8E" w:rsidR="00437BE5" w:rsidRPr="00A93A6F" w:rsidRDefault="00437BE5" w:rsidP="00437BE5">
      <w:pPr>
        <w:pStyle w:val="Legend"/>
        <w:spacing w:line="360" w:lineRule="auto"/>
        <w:jc w:val="both"/>
      </w:pPr>
      <w:r w:rsidRPr="00A93A6F">
        <w:t>SH-SY5Y cells (a human derived neuroblastoma cell line)</w:t>
      </w:r>
      <w:r w:rsidR="00D15E9F" w:rsidRPr="00A93A6F">
        <w:t xml:space="preserve"> with and without GFP-tag</w:t>
      </w:r>
      <w:r w:rsidRPr="00A93A6F">
        <w:t xml:space="preserve">, were cultured for three days under physiological conditions (37 </w:t>
      </w:r>
      <w:r w:rsidRPr="00A93A6F">
        <w:rPr>
          <w:vertAlign w:val="superscript"/>
        </w:rPr>
        <w:t>◦</w:t>
      </w:r>
      <w:r w:rsidRPr="00A93A6F">
        <w:t>C and 5 % CO</w:t>
      </w:r>
      <w:r w:rsidRPr="00A93A6F">
        <w:rPr>
          <w:vertAlign w:val="subscript"/>
        </w:rPr>
        <w:t>2</w:t>
      </w:r>
      <w:r w:rsidRPr="00A93A6F">
        <w:t xml:space="preserve">) up to 80 % confluency. </w:t>
      </w:r>
      <w:r w:rsidR="003D1E63" w:rsidRPr="00A93A6F">
        <w:t>The</w:t>
      </w:r>
      <w:r w:rsidRPr="00A93A6F">
        <w:t xml:space="preserve"> cells were then dissociated using Versene (Gibco™, Thermo Fisher Scientific) and resuspended in phosphate buffered saline (PBS) (Gibco™, Thermo Fisher Scientific). The neutralized collagen monomer solution was then mixed with </w:t>
      </w:r>
      <w:r w:rsidR="003D1E63" w:rsidRPr="00A93A6F">
        <w:t xml:space="preserve">an aliquot of the </w:t>
      </w:r>
      <w:r w:rsidRPr="00A93A6F">
        <w:t>cell</w:t>
      </w:r>
      <w:r w:rsidR="003D1E63" w:rsidRPr="00A93A6F">
        <w:t xml:space="preserve"> suspension</w:t>
      </w:r>
      <w:r w:rsidRPr="00A93A6F">
        <w:t xml:space="preserve"> to reach a </w:t>
      </w:r>
      <w:r w:rsidR="003D1E63" w:rsidRPr="00A93A6F">
        <w:t xml:space="preserve">final </w:t>
      </w:r>
      <w:r w:rsidRPr="00A93A6F">
        <w:t>concentration of approximately 10</w:t>
      </w:r>
      <w:r w:rsidRPr="00A93A6F">
        <w:rPr>
          <w:vertAlign w:val="superscript"/>
        </w:rPr>
        <w:t>5</w:t>
      </w:r>
      <w:r w:rsidRPr="00A93A6F">
        <w:t xml:space="preserve"> cells/ml. </w:t>
      </w:r>
    </w:p>
    <w:p w14:paraId="2BAFCE33" w14:textId="3915B762" w:rsidR="00437BE5" w:rsidRPr="00A93A6F" w:rsidRDefault="00437BE5" w:rsidP="00437BE5">
      <w:pPr>
        <w:pStyle w:val="Legend"/>
        <w:spacing w:line="360" w:lineRule="auto"/>
        <w:jc w:val="both"/>
      </w:pPr>
      <w:r w:rsidRPr="00A93A6F">
        <w:t xml:space="preserve">After applying </w:t>
      </w:r>
      <w:r w:rsidR="00A866F4" w:rsidRPr="00A93A6F">
        <w:t xml:space="preserve">the </w:t>
      </w:r>
      <w:r w:rsidRPr="00A93A6F">
        <w:t xml:space="preserve">stress-controlled </w:t>
      </w:r>
      <w:r w:rsidR="00F82C75" w:rsidRPr="00A93A6F">
        <w:t xml:space="preserve">shearing </w:t>
      </w:r>
      <w:r w:rsidRPr="00A93A6F">
        <w:t xml:space="preserve">procedure on the cell-laden hydrogels, </w:t>
      </w:r>
      <w:r w:rsidR="00855672" w:rsidRPr="00A93A6F">
        <w:t>both the viability and morphology was assessed via confocal microscopy. For the</w:t>
      </w:r>
      <w:r w:rsidRPr="00A93A6F">
        <w:t xml:space="preserve"> purpose</w:t>
      </w:r>
      <w:r w:rsidR="00855672" w:rsidRPr="00A93A6F">
        <w:t xml:space="preserve"> of determining the viability</w:t>
      </w:r>
      <w:r w:rsidRPr="00A93A6F">
        <w:t xml:space="preserve">, </w:t>
      </w:r>
      <w:r w:rsidR="00855672" w:rsidRPr="00A93A6F">
        <w:t>SH-SY5Y cells (without GFP-tag)</w:t>
      </w:r>
      <w:r w:rsidRPr="00A93A6F">
        <w:t xml:space="preserve"> </w:t>
      </w:r>
      <w:r w:rsidR="00F65911" w:rsidRPr="00A93A6F">
        <w:t xml:space="preserve">embedded </w:t>
      </w:r>
      <w:r w:rsidRPr="00A93A6F">
        <w:t xml:space="preserve">in the </w:t>
      </w:r>
      <w:r w:rsidR="009D11F0" w:rsidRPr="00A93A6F">
        <w:t>collagen</w:t>
      </w:r>
      <w:r w:rsidRPr="00A93A6F">
        <w:t xml:space="preserve"> hydrogels were fluorescently labelled with Calcein AM (Sigma-Aldrich, USA) for live cells while the dead cells were stained with Nuclear Blue™ DCS1 (ATT Bioquest, CA, USA) according to manufacturer instructions. Briefly, the medium was gently removed from the samples and replaced with PBS for 10 min. Thereafter, samples were stained with 2 μM Calcein AM and 4 μM Nuclear Blue in PBS at 37 °C. After 30 min incubation, the staining solution was removed and replaced with PBS prior to imaging. Cell imaging was performed</w:t>
      </w:r>
      <w:r w:rsidR="00C549A9" w:rsidRPr="00A93A6F">
        <w:t xml:space="preserve"> in</w:t>
      </w:r>
      <w:r w:rsidRPr="00A93A6F">
        <w:t xml:space="preserve"> </w:t>
      </w:r>
      <w:r w:rsidR="00BC558B" w:rsidRPr="00A93A6F">
        <w:t xml:space="preserve">three </w:t>
      </w:r>
      <w:r w:rsidRPr="00A93A6F">
        <w:t xml:space="preserve">different areas of the hydrogels using an inverted confocal microscope LSM 880 (Zeiss, Oberkochen, Germany) with a 10× objective lens. </w:t>
      </w:r>
      <w:r w:rsidR="0036680C" w:rsidRPr="00A93A6F">
        <w:t>z</w:t>
      </w:r>
      <w:r w:rsidRPr="00A93A6F">
        <w:t xml:space="preserve">-stack images were collected for the cells in the hydrogels with a size of 1400 μm × 1400 μm × 200 μm. </w:t>
      </w:r>
    </w:p>
    <w:p w14:paraId="38614646" w14:textId="5E2C7BD1" w:rsidR="00CA67EB" w:rsidRPr="00A93A6F" w:rsidRDefault="00CA67EB" w:rsidP="00437BE5">
      <w:pPr>
        <w:pStyle w:val="Legend"/>
        <w:spacing w:line="360" w:lineRule="auto"/>
        <w:jc w:val="both"/>
      </w:pPr>
      <w:r w:rsidRPr="00A93A6F">
        <w:t xml:space="preserve">The morphology of </w:t>
      </w:r>
      <w:r w:rsidR="007F5D5E" w:rsidRPr="00A93A6F">
        <w:t xml:space="preserve">the embedded, GFP-tagged </w:t>
      </w:r>
      <w:r w:rsidRPr="00A93A6F">
        <w:t>SH-SY5Y cells was determined using a SP8 Dive (Leica Microsystems, Wetzlar, Germany) confocal microscope with a 10× objective lens. To determine the azimuth direction o</w:t>
      </w:r>
      <w:r w:rsidR="0036680C" w:rsidRPr="00A93A6F">
        <w:t>f the collagen sample</w:t>
      </w:r>
      <w:r w:rsidR="00C135E3" w:rsidRPr="00A93A6F">
        <w:t>,</w:t>
      </w:r>
      <w:r w:rsidR="0036680C" w:rsidRPr="00A93A6F">
        <w:t xml:space="preserve"> a single z</w:t>
      </w:r>
      <w:r w:rsidRPr="00A93A6F">
        <w:t>-plane with a size of 1550 μm × 1550 μm was measured using a pinhole size of 186.0 μm. This allowed visualiz</w:t>
      </w:r>
      <w:r w:rsidR="007F5D5E" w:rsidRPr="00A93A6F">
        <w:t>ing</w:t>
      </w:r>
      <w:r w:rsidRPr="00A93A6F">
        <w:t xml:space="preserve"> the sample edge </w:t>
      </w:r>
      <w:r w:rsidR="007F5D5E" w:rsidRPr="00A93A6F">
        <w:t>using</w:t>
      </w:r>
      <w:r w:rsidRPr="00A93A6F">
        <w:t xml:space="preserve"> collagen </w:t>
      </w:r>
      <w:r w:rsidR="00C135E3" w:rsidRPr="00A93A6F">
        <w:t>autofluorescence</w:t>
      </w:r>
      <w:r w:rsidRPr="00A93A6F">
        <w:t xml:space="preserve">. Next, </w:t>
      </w:r>
      <w:r w:rsidR="0036680C" w:rsidRPr="00A93A6F">
        <w:t>z</w:t>
      </w:r>
      <w:r w:rsidRPr="00A93A6F">
        <w:t>-stack images were collected for the cells in the hydrogels with a size of 358 μm × 358 μm × 50 μm, using a pinhole size of 41.4 μm.</w:t>
      </w:r>
    </w:p>
    <w:p w14:paraId="320EAAB6" w14:textId="77B7D777" w:rsidR="007D49C2" w:rsidRPr="00A93A6F" w:rsidRDefault="007D49C2" w:rsidP="00437BE5">
      <w:pPr>
        <w:pStyle w:val="Legend"/>
        <w:spacing w:line="360" w:lineRule="auto"/>
        <w:jc w:val="both"/>
      </w:pPr>
    </w:p>
    <w:p w14:paraId="62D1D7C8" w14:textId="60F6807C" w:rsidR="007D49C2" w:rsidRPr="00A93A6F" w:rsidRDefault="007D49C2" w:rsidP="00437BE5">
      <w:pPr>
        <w:pStyle w:val="Legend"/>
        <w:spacing w:line="360" w:lineRule="auto"/>
        <w:jc w:val="both"/>
        <w:rPr>
          <w:b/>
          <w:bCs/>
        </w:rPr>
      </w:pPr>
      <w:r w:rsidRPr="00A93A6F">
        <w:rPr>
          <w:b/>
          <w:bCs/>
        </w:rPr>
        <w:t>2.7 Statistical Analysis</w:t>
      </w:r>
    </w:p>
    <w:p w14:paraId="673AA3DB" w14:textId="50D6D5B5" w:rsidR="007D49C2" w:rsidRPr="00A93A6F" w:rsidRDefault="00B569E6" w:rsidP="00437BE5">
      <w:pPr>
        <w:pStyle w:val="Legend"/>
        <w:spacing w:line="360" w:lineRule="auto"/>
        <w:jc w:val="both"/>
      </w:pPr>
      <w:r w:rsidRPr="00A93A6F">
        <w:t xml:space="preserve">For each condition a minimum of three areas was taken into account for statistical analysis. </w:t>
      </w:r>
      <w:r w:rsidR="00B92B94" w:rsidRPr="00A93A6F">
        <w:t>The statistical significance between different conditions was determined using a</w:t>
      </w:r>
      <w:r w:rsidRPr="00A93A6F">
        <w:t xml:space="preserve"> student’s</w:t>
      </w:r>
      <w:r w:rsidR="00B92B94" w:rsidRPr="00A93A6F">
        <w:t xml:space="preserve"> </w:t>
      </w:r>
      <w:r w:rsidR="007D49C2" w:rsidRPr="00A93A6F">
        <w:t xml:space="preserve">two-sample </w:t>
      </w:r>
      <w:r w:rsidR="007D49C2" w:rsidRPr="00A93A6F">
        <w:rPr>
          <w:i/>
          <w:iCs/>
        </w:rPr>
        <w:t>t</w:t>
      </w:r>
      <w:r w:rsidR="007D49C2" w:rsidRPr="00A93A6F">
        <w:t xml:space="preserve">-test with a significance level </w:t>
      </w:r>
      <w:r w:rsidR="007D49C2" w:rsidRPr="00A93A6F">
        <w:rPr>
          <w:rFonts w:ascii="Cambria Math" w:hAnsi="Cambria Math" w:cs="Cambria Math"/>
          <w:i/>
          <w:iCs/>
        </w:rPr>
        <w:t>𝛼</w:t>
      </w:r>
      <w:r w:rsidR="007D49C2" w:rsidRPr="00A93A6F">
        <w:rPr>
          <w:i/>
          <w:iCs/>
        </w:rPr>
        <w:t xml:space="preserve"> </w:t>
      </w:r>
      <w:r w:rsidR="007D49C2" w:rsidRPr="00A93A6F">
        <w:t>= 0.05</w:t>
      </w:r>
      <w:r w:rsidRPr="00A93A6F">
        <w:t>. A</w:t>
      </w:r>
      <w:r w:rsidR="00E5463B" w:rsidRPr="00A93A6F">
        <w:t>ll a</w:t>
      </w:r>
      <w:r w:rsidRPr="00A93A6F">
        <w:t>nalyzes were performed using</w:t>
      </w:r>
      <w:r w:rsidR="007D49C2" w:rsidRPr="00A93A6F">
        <w:t xml:space="preserve"> MATLAB® 2021a.</w:t>
      </w:r>
    </w:p>
    <w:p w14:paraId="128631FA" w14:textId="77777777" w:rsidR="00437BE5" w:rsidRPr="00A93A6F" w:rsidRDefault="00437BE5" w:rsidP="00437BE5">
      <w:pPr>
        <w:pStyle w:val="Legend"/>
        <w:spacing w:line="360" w:lineRule="auto"/>
        <w:jc w:val="both"/>
      </w:pPr>
    </w:p>
    <w:p w14:paraId="4138072E" w14:textId="77777777" w:rsidR="00437BE5" w:rsidRPr="00A93A6F" w:rsidRDefault="00437BE5" w:rsidP="00FD4372">
      <w:pPr>
        <w:pStyle w:val="Head1"/>
      </w:pPr>
      <w:r w:rsidRPr="00A93A6F">
        <w:t>3. Results and discussion</w:t>
      </w:r>
    </w:p>
    <w:p w14:paraId="1D7854DE" w14:textId="77777777" w:rsidR="00437BE5" w:rsidRPr="00A93A6F" w:rsidRDefault="00437BE5" w:rsidP="00FD4372">
      <w:pPr>
        <w:pStyle w:val="Head1"/>
      </w:pPr>
      <w:bookmarkStart w:id="6" w:name="_Hlk90904849"/>
      <w:r w:rsidRPr="00A93A6F">
        <w:t>3.1. Tuning the procedure to obtain shear stress-controlled deformation</w:t>
      </w:r>
    </w:p>
    <w:p w14:paraId="2C5C845E" w14:textId="70F2FF0C" w:rsidR="00437BE5" w:rsidRPr="00A93A6F" w:rsidRDefault="00437BE5" w:rsidP="00437BE5">
      <w:pPr>
        <w:spacing w:line="360" w:lineRule="auto"/>
        <w:jc w:val="both"/>
        <w:rPr>
          <w:lang w:val="en-US"/>
        </w:rPr>
      </w:pPr>
      <w:r w:rsidRPr="00A93A6F">
        <w:rPr>
          <w:lang w:val="en-US"/>
        </w:rPr>
        <w:t xml:space="preserve">Reproducibility is crucial for the development of commercial drug screening and/or therapeutic platforms. To produce aligned cellular matrices in a reproducible manner using a shear flow approach, it is essential to accurately identify the initiation point at which the sample </w:t>
      </w:r>
      <w:r w:rsidR="001875C2" w:rsidRPr="00A93A6F">
        <w:rPr>
          <w:lang w:val="en-US"/>
        </w:rPr>
        <w:t xml:space="preserve">should be </w:t>
      </w:r>
      <w:r w:rsidRPr="00A93A6F">
        <w:rPr>
          <w:lang w:val="en-US"/>
        </w:rPr>
        <w:t xml:space="preserve">deformed. As discussed in the introduction, most shear flow procedures </w:t>
      </w:r>
      <w:r w:rsidR="006A77CC" w:rsidRPr="00A93A6F">
        <w:rPr>
          <w:lang w:val="en-US"/>
        </w:rPr>
        <w:t xml:space="preserve">choose </w:t>
      </w:r>
      <w:r w:rsidRPr="00A93A6F">
        <w:rPr>
          <w:lang w:val="en-US"/>
        </w:rPr>
        <w:t>a predefined time, after starting the gelation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g</m:t>
            </m:r>
          </m:sub>
        </m:sSub>
      </m:oMath>
      <w:r w:rsidRPr="00A93A6F">
        <w:rPr>
          <w:lang w:val="en-US"/>
        </w:rPr>
        <w:t xml:space="preserve">), for this purpose. The problem with this approach is that gelation kinetics are prone to fluctuations </w:t>
      </w:r>
      <w:r w:rsidRPr="00A93A6F">
        <w:rPr>
          <w:lang w:val="en-US"/>
        </w:rPr>
        <w:fldChar w:fldCharType="begin" w:fldLock="1"/>
      </w:r>
      <w:r w:rsidR="00ED1620" w:rsidRPr="00A93A6F">
        <w:rPr>
          <w:lang w:val="en-US"/>
        </w:rPr>
        <w:instrText>ADDIN CSL_CITATION { "citationItems" : [ { "id" : "ITEM-1", "itemData" : { "DOI" : "10.1371/journal.pone.0118021", "ISSN" : "19326203", "PMID" : "25734484", "abstract" : "Disordered fiber networks provide structural support to a wide range of important materials, and the combination of spatial and dynamic complexity may produce large inhomogeneities in mechanical properties, an effect that is largely unexplored experimentally. In this work, we introduce Boundary Stress Microscopy to quantify the non-uniform surface stresses in sheared collagen gels. We find local stresses exceeding average stresses by an order of magnitude, with variations over length scales much larger than the network mesh size. The strain stiffening behavior observed over a wide range of network mesh sizes can be parameterized by a single characteristic strain and associated stress, which describes both the strain stiffening regime and network yielding. The characteristic stress is approximately proportional to network density, but the peak boundary stress at both the characteristic strain and at yielding are remarkably insensitive to concentration.", "author" : [ { "dropping-particle" : "", "family" : "Arevalo", "given" : "Richard C.", "non-dropping-particle" : "", "parse-names" : false, "suffix" : "" }, { "dropping-particle" : "", "family" : "Kumar", "given" : "Pramukta", "non-dropping-particle" : "", "parse-names" : false, "suffix" : "" }, { "dropping-particle" : "", "family" : "Urbach", "given" : "Jeffrey S.", "non-dropping-particle" : "", "parse-names" : false, "suffix" : "" }, { "dropping-particle" : "", "family" : "Blair", "given" : "Daniel L.", "non-dropping-particle" : "", "parse-names" : false, "suffix" : "" } ], "container-title" : "PLoS ONE", "id" : "ITEM-1", "issue" : "3", "issued" : { "date-parts" : [ [ "2015", "3", "3" ] ] }, "publisher" : "Public Library of Science", "title" : "Stress heterogeneities in sheared type-i collagen networks revealed by boundary stress microscopy", "type" : "article-journal", "volume" : "10" }, "uris" : [ "http://www.mendeley.com/documents/?uuid=534380e3-4204-352a-8d9f-9cc51e60976f" ] } ], "mendeley" : { "formattedCitation" : "[42]", "plainTextFormattedCitation" : "[42]", "previouslyFormattedCitation" : "[42]" }, "properties" : { "noteIndex" : 0 }, "schema" : "https://github.com/citation-style-language/schema/raw/master/csl-citation.json" }</w:instrText>
      </w:r>
      <w:r w:rsidRPr="00A93A6F">
        <w:rPr>
          <w:lang w:val="en-US"/>
        </w:rPr>
        <w:fldChar w:fldCharType="separate"/>
      </w:r>
      <w:r w:rsidR="00ED1620" w:rsidRPr="00A93A6F">
        <w:rPr>
          <w:noProof/>
          <w:lang w:val="en-US"/>
        </w:rPr>
        <w:t>[42]</w:t>
      </w:r>
      <w:r w:rsidRPr="00A93A6F">
        <w:rPr>
          <w:lang w:val="en-US"/>
        </w:rPr>
        <w:fldChar w:fldCharType="end"/>
      </w:r>
      <w:r w:rsidRPr="00A93A6F">
        <w:rPr>
          <w:lang w:val="en-US"/>
        </w:rPr>
        <w:fldChar w:fldCharType="begin" w:fldLock="1"/>
      </w:r>
      <w:r w:rsidR="00ED1620" w:rsidRPr="00A93A6F">
        <w:rPr>
          <w:lang w:val="en-US"/>
        </w:rPr>
        <w:instrText>ADDIN CSL_CITATION { "citationItems" : [ { "id" : "ITEM-1", "itemData" : { "DOI" : "10.1038/nphys3628", "ISSN" : "17452481", "abstract" : "Disordered fibrous networks are ubiquitous in nature as major structural components of living cells and tissues. The mechanical stability of networks generally depends on the degree of connectivity: only when the average number of connections between nodes exceeds the isostatic threshold are networks stable. On increasing the connectivity through this point, such networks undergo a mechanical phase transition from a floppy to a rigid phase. However, even sub-isostatic networks become rigid when subjected to sufficiently large deformations. To study this strain-controlled transition, we perform a combination of computational modelling of fibre networks and experiments on networks of type I collagen fibres, which are crucial for the integrity of biological tissues. We show theoretically that the development of rigidity is characterized by a strain-controlled continuous phase transition with signatures of criticality. Our experiments demonstrate mechanical properties consistent with our model, including the predicted critical exponents. We show that the nonlinear mechanics of collagen networks can be quantitatively captured by the predictions of scaling theory for the strain-controlled critical behaviour over a wide range of network concentrations and strains up to failure of the material.", "author" : [ { "dropping-particle" : "", "family" : "Sharma", "given" : "A.", "non-dropping-particle" : "", "parse-names" : false, "suffix" : "" }, { "dropping-particle" : "", "family" : "Licup", "given" : "A. J.", "non-dropping-particle" : "", "parse-names" : false, "suffix" : "" }, { "dropping-particle" : "", "family" : "Jansen", "given" : "K. A.", "non-dropping-particle" : "", "parse-names" : false, "suffix" : "" }, { "dropping-particle" : "", "family" : "Rens", "given" : "R.", "non-dropping-particle" : "", "parse-names" : false, "suffix" : "" }, { "dropping-particle" : "", "family" : "Sheinman", "given" : "M.", "non-dropping-particle" : "", "parse-names" : false, "suffix" : "" }, { "dropping-particle" : "", "family" : "Koenderink", "given" : "G. H.", "non-dropping-particle" : "", "parse-names" : false, "suffix" : "" }, { "dropping-particle" : "", "family" : "Mackintosh", "given" : "F. C.", "non-dropping-particle" : "", "parse-names" : false, "suffix" : "" } ], "container-title" : "Nature Physics", "id" : "ITEM-1", "issue" : "6", "issued" : { "date-parts" : [ [ "2016", "6", "1" ] ] }, "page" : "584-587", "publisher" : "Nature Publishing Group", "title" : "Strain-controlled criticality governs the nonlinear mechanics of fibre networks", "type" : "article-journal", "volume" : "12" }, "uris" : [ "http://www.mendeley.com/documents/?uuid=b2de8256-96d4-3f88-be26-9ec2c5a58ad6" ] } ], "mendeley" : { "formattedCitation" : "[43]", "plainTextFormattedCitation" : "[43]", "previouslyFormattedCitation" : "[43]" }, "properties" : { "noteIndex" : 0 }, "schema" : "https://github.com/citation-style-language/schema/raw/master/csl-citation.json" }</w:instrText>
      </w:r>
      <w:r w:rsidRPr="00A93A6F">
        <w:rPr>
          <w:lang w:val="en-US"/>
        </w:rPr>
        <w:fldChar w:fldCharType="separate"/>
      </w:r>
      <w:r w:rsidR="00ED1620" w:rsidRPr="00A93A6F">
        <w:rPr>
          <w:noProof/>
          <w:lang w:val="en-US"/>
        </w:rPr>
        <w:t>[43]</w:t>
      </w:r>
      <w:r w:rsidRPr="00A93A6F">
        <w:rPr>
          <w:lang w:val="en-US"/>
        </w:rPr>
        <w:fldChar w:fldCharType="end"/>
      </w:r>
      <w:r w:rsidRPr="00A93A6F">
        <w:rPr>
          <w:lang w:val="en-US"/>
        </w:rPr>
        <w:t xml:space="preserve">. </w:t>
      </w:r>
      <w:bookmarkEnd w:id="6"/>
      <w:r w:rsidRPr="00A93A6F">
        <w:rPr>
          <w:lang w:val="en-US"/>
        </w:rPr>
        <w:t>The issue is highlighted in our time sweep experiments (</w:t>
      </w:r>
      <w:r w:rsidRPr="00A93A6F">
        <w:rPr>
          <w:b/>
          <w:bCs/>
          <w:lang w:val="en-US"/>
        </w:rPr>
        <w:t>Figure 2.b</w:t>
      </w:r>
      <w:r w:rsidRPr="00A93A6F">
        <w:rPr>
          <w:lang w:val="en-US"/>
        </w:rPr>
        <w:t xml:space="preserve"> and </w:t>
      </w:r>
      <w:r w:rsidR="00481187" w:rsidRPr="00A93A6F">
        <w:rPr>
          <w:b/>
          <w:bCs/>
          <w:lang w:val="en-US"/>
        </w:rPr>
        <w:t>Figure S</w:t>
      </w:r>
      <w:r w:rsidR="00602FFE" w:rsidRPr="00A93A6F">
        <w:rPr>
          <w:b/>
          <w:bCs/>
          <w:lang w:val="en-US"/>
        </w:rPr>
        <w:t>2</w:t>
      </w:r>
      <w:r w:rsidR="00312222" w:rsidRPr="00A93A6F">
        <w:rPr>
          <w:bCs/>
          <w:lang w:val="en-US"/>
        </w:rPr>
        <w:t>)</w:t>
      </w:r>
      <w:r w:rsidRPr="00A93A6F">
        <w:rPr>
          <w:bCs/>
          <w:lang w:val="en-US"/>
        </w:rPr>
        <w:t xml:space="preserve"> </w:t>
      </w:r>
      <w:r w:rsidRPr="00A93A6F">
        <w:rPr>
          <w:lang w:val="en-US"/>
        </w:rPr>
        <w:t xml:space="preserve">where we see a clear shift of curves along the time axis, indicating that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g</m:t>
            </m:r>
          </m:sub>
        </m:sSub>
      </m:oMath>
      <w:r w:rsidRPr="00A93A6F">
        <w:rPr>
          <w:lang w:val="en-US"/>
        </w:rPr>
        <w:t xml:space="preserve"> is not a predictable parameter for the system behavior. As such it is vital to relate the initiation point of the stress to the stiffness of the solidifying material, as opposed to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g</m:t>
            </m:r>
          </m:sub>
        </m:sSub>
      </m:oMath>
      <w:r w:rsidRPr="00A93A6F">
        <w:rPr>
          <w:lang w:val="en-US"/>
        </w:rPr>
        <w:t xml:space="preserve">, thus eliminating the temporal variations in </w:t>
      </w:r>
      <m:oMath>
        <m:d>
          <m:dPr>
            <m:begChr m:val="|"/>
            <m:endChr m:val="|"/>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G</m:t>
                </m:r>
              </m:e>
              <m:sup>
                <m:r>
                  <w:rPr>
                    <w:rFonts w:ascii="Cambria Math" w:hAnsi="Cambria Math"/>
                    <w:lang w:val="en-US"/>
                  </w:rPr>
                  <m:t>*</m:t>
                </m:r>
              </m:sup>
            </m:sSup>
            <m:d>
              <m:dPr>
                <m:ctrlPr>
                  <w:rPr>
                    <w:rFonts w:ascii="Cambria Math" w:hAnsi="Cambria Math"/>
                    <w:i/>
                    <w:lang w:val="en-US"/>
                  </w:rPr>
                </m:ctrlPr>
              </m:dPr>
              <m:e>
                <m:r>
                  <w:rPr>
                    <w:rFonts w:ascii="Cambria Math" w:hAnsi="Cambria Math"/>
                    <w:lang w:val="en-US"/>
                  </w:rPr>
                  <m:t>t</m:t>
                </m:r>
              </m:e>
            </m:d>
          </m:e>
        </m:d>
      </m:oMath>
      <w:r w:rsidRPr="00A93A6F">
        <w:rPr>
          <w:lang w:val="en-US"/>
        </w:rPr>
        <w:t xml:space="preserve"> (and thus </w:t>
      </w:r>
      <m:oMath>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yield</m:t>
            </m:r>
          </m:sub>
        </m:sSub>
        <m:d>
          <m:dPr>
            <m:ctrlPr>
              <w:rPr>
                <w:rFonts w:ascii="Cambria Math" w:hAnsi="Cambria Math"/>
                <w:i/>
                <w:lang w:val="en-US"/>
              </w:rPr>
            </m:ctrlPr>
          </m:dPr>
          <m:e>
            <m:r>
              <w:rPr>
                <w:rFonts w:ascii="Cambria Math" w:hAnsi="Cambria Math"/>
                <w:lang w:val="en-US"/>
              </w:rPr>
              <m:t>t</m:t>
            </m:r>
          </m:e>
        </m:d>
      </m:oMath>
      <w:r w:rsidRPr="00A93A6F">
        <w:rPr>
          <w:lang w:val="en-US"/>
        </w:rPr>
        <w:t>) between samples.</w:t>
      </w:r>
      <w:bookmarkStart w:id="7" w:name="_heading=h.1fob9te" w:colFirst="0" w:colLast="0"/>
      <w:bookmarkEnd w:id="7"/>
      <w:r w:rsidRPr="00A93A6F">
        <w:rPr>
          <w:lang w:val="en-US"/>
        </w:rPr>
        <w:t xml:space="preserve"> </w:t>
      </w:r>
    </w:p>
    <w:p w14:paraId="18B1E744" w14:textId="047FF906" w:rsidR="00E95963" w:rsidRPr="00A93A6F" w:rsidRDefault="00437BE5" w:rsidP="00437BE5">
      <w:pPr>
        <w:spacing w:line="360" w:lineRule="auto"/>
        <w:jc w:val="both"/>
        <w:rPr>
          <w:lang w:val="en-US"/>
        </w:rPr>
      </w:pPr>
      <w:r w:rsidRPr="00A93A6F">
        <w:rPr>
          <w:lang w:val="en-US"/>
        </w:rPr>
        <w:t>This work explores a paradigm shift where we apply a predefined rotational stress (</w:t>
      </w:r>
      <m:oMath>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app</m:t>
            </m:r>
          </m:sub>
        </m:sSub>
      </m:oMath>
      <w:r w:rsidRPr="00A93A6F">
        <w:rPr>
          <w:lang w:val="en-US"/>
        </w:rPr>
        <w:t xml:space="preserve">) at the time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σ</m:t>
            </m:r>
          </m:sub>
        </m:sSub>
      </m:oMath>
      <w:r w:rsidRPr="00A93A6F">
        <w:rPr>
          <w:lang w:val="en-US"/>
        </w:rPr>
        <w:t xml:space="preserve">, where </w:t>
      </w:r>
      <m:oMath>
        <m:d>
          <m:dPr>
            <m:begChr m:val="|"/>
            <m:endChr m:val="|"/>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G</m:t>
                </m:r>
              </m:e>
              <m:sup>
                <m:r>
                  <w:rPr>
                    <w:rFonts w:ascii="Cambria Math" w:hAnsi="Cambria Math"/>
                    <w:lang w:val="en-US"/>
                  </w:rPr>
                  <m:t>*</m:t>
                </m:r>
              </m:sup>
            </m:sSup>
            <m:d>
              <m:dPr>
                <m:ctrlPr>
                  <w:rPr>
                    <w:rFonts w:ascii="Cambria Math" w:hAnsi="Cambria Math"/>
                    <w:i/>
                    <w:lang w:val="en-US"/>
                  </w:rPr>
                </m:ctrlPr>
              </m:dPr>
              <m:e>
                <m:r>
                  <w:rPr>
                    <w:rFonts w:ascii="Cambria Math" w:hAnsi="Cambria Math"/>
                    <w:lang w:val="en-US"/>
                  </w:rPr>
                  <m:t>t</m:t>
                </m:r>
              </m:e>
            </m:d>
          </m:e>
        </m:d>
      </m:oMath>
      <w:r w:rsidRPr="00A93A6F">
        <w:rPr>
          <w:lang w:val="en-US"/>
        </w:rPr>
        <w:t xml:space="preserve"> reaches a preset value (</w:t>
      </w:r>
      <m:oMath>
        <m:d>
          <m:dPr>
            <m:begChr m:val="|"/>
            <m:endChr m:val="|"/>
            <m:ctrlPr>
              <w:rPr>
                <w:rFonts w:ascii="Cambria Math" w:hAnsi="Cambria Math"/>
                <w:lang w:val="en-US"/>
              </w:rPr>
            </m:ctrlPr>
          </m:dPr>
          <m:e>
            <m:sSubSup>
              <m:sSubSupPr>
                <m:ctrlPr>
                  <w:rPr>
                    <w:rFonts w:ascii="Cambria Math" w:hAnsi="Cambria Math"/>
                    <w:lang w:val="en-US"/>
                  </w:rPr>
                </m:ctrlPr>
              </m:sSubSupPr>
              <m:e>
                <m:r>
                  <w:rPr>
                    <w:rFonts w:ascii="Cambria Math" w:hAnsi="Cambria Math"/>
                    <w:lang w:val="en-US"/>
                  </w:rPr>
                  <m:t>G</m:t>
                </m:r>
              </m:e>
              <m:sub>
                <m:r>
                  <w:rPr>
                    <w:rFonts w:ascii="Cambria Math" w:hAnsi="Cambria Math"/>
                    <w:lang w:val="en-US"/>
                  </w:rPr>
                  <m:t>s</m:t>
                </m:r>
              </m:sub>
              <m:sup>
                <m:r>
                  <w:rPr>
                    <w:rFonts w:ascii="Cambria Math" w:hAnsi="Cambria Math"/>
                    <w:lang w:val="en-US"/>
                  </w:rPr>
                  <m:t>*</m:t>
                </m:r>
              </m:sup>
            </m:sSubSup>
          </m:e>
        </m:d>
      </m:oMath>
      <w:r w:rsidRPr="00A93A6F">
        <w:rPr>
          <w:lang w:val="en-US"/>
        </w:rPr>
        <w:t>). This will result in a shear flow</w:t>
      </w:r>
      <w:r w:rsidR="006A77CC" w:rsidRPr="00A93A6F">
        <w:rPr>
          <w:lang w:val="en-US"/>
        </w:rPr>
        <w:t xml:space="preserve">, </w:t>
      </w:r>
      <w:r w:rsidRPr="00A93A6F">
        <w:rPr>
          <w:lang w:val="en-US"/>
        </w:rPr>
        <w:t>thus straining the material. The applied stress is removed (</w:t>
      </w:r>
      <w:r w:rsidRPr="00A93A6F">
        <w:rPr>
          <w:i/>
          <w:iCs/>
          <w:lang w:val="en-US"/>
        </w:rPr>
        <w:t>i.e.</w:t>
      </w:r>
      <w:r w:rsidRPr="00A93A6F">
        <w:rPr>
          <w:i/>
          <w:lang w:val="en-US"/>
        </w:rPr>
        <w:t xml:space="preserve">, </w:t>
      </w:r>
      <m:oMath>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app</m:t>
            </m:r>
          </m:sub>
        </m:sSub>
      </m:oMath>
      <w:r w:rsidRPr="00A93A6F">
        <w:rPr>
          <w:i/>
          <w:lang w:val="en-US"/>
        </w:rPr>
        <w:t xml:space="preserve"> </w:t>
      </w:r>
      <w:r w:rsidRPr="00A93A6F">
        <w:rPr>
          <w:lang w:val="en-US"/>
        </w:rPr>
        <w:t xml:space="preserve">= 0.0 Pa) after the system has fully cured, in this case after 26 minutes, and the remaining strain after partial recoil is measured, referred to as </w:t>
      </w:r>
      <m:oMath>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ind</m:t>
            </m:r>
          </m:sub>
        </m:sSub>
      </m:oMath>
      <w:r w:rsidRPr="00A93A6F">
        <w:rPr>
          <w:lang w:val="en-US"/>
        </w:rPr>
        <w:t xml:space="preserve"> (see </w:t>
      </w:r>
      <w:r w:rsidRPr="00A93A6F">
        <w:rPr>
          <w:b/>
          <w:bCs/>
          <w:lang w:val="en-US"/>
        </w:rPr>
        <w:t>Figure 3.a</w:t>
      </w:r>
      <w:r w:rsidRPr="00A93A6F">
        <w:rPr>
          <w:lang w:val="en-US"/>
        </w:rPr>
        <w:t xml:space="preserve">). A production cycle is successful when the system remains stable, yielding a sample which acquired a strain </w:t>
      </w:r>
      <m:oMath>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ind</m:t>
            </m:r>
          </m:sub>
        </m:sSub>
      </m:oMath>
      <w:r w:rsidRPr="00A93A6F">
        <w:rPr>
          <w:lang w:val="en-US"/>
        </w:rPr>
        <w:t xml:space="preserve">, and therefore fiber alignment, sufficiently high for the desired application. To this end, optimization of both </w:t>
      </w:r>
      <m:oMath>
        <m:d>
          <m:dPr>
            <m:begChr m:val="|"/>
            <m:endChr m:val="|"/>
            <m:ctrlPr>
              <w:rPr>
                <w:rFonts w:ascii="Cambria Math" w:hAnsi="Cambria Math"/>
                <w:lang w:val="en-US"/>
              </w:rPr>
            </m:ctrlPr>
          </m:dPr>
          <m:e>
            <m:sSubSup>
              <m:sSubSupPr>
                <m:ctrlPr>
                  <w:rPr>
                    <w:rFonts w:ascii="Cambria Math" w:hAnsi="Cambria Math"/>
                    <w:lang w:val="en-US"/>
                  </w:rPr>
                </m:ctrlPr>
              </m:sSubSupPr>
              <m:e>
                <m:r>
                  <w:rPr>
                    <w:rFonts w:ascii="Cambria Math" w:hAnsi="Cambria Math"/>
                    <w:lang w:val="en-US"/>
                  </w:rPr>
                  <m:t>G</m:t>
                </m:r>
              </m:e>
              <m:sub>
                <m:r>
                  <w:rPr>
                    <w:rFonts w:ascii="Cambria Math" w:hAnsi="Cambria Math"/>
                    <w:lang w:val="en-US"/>
                  </w:rPr>
                  <m:t>s</m:t>
                </m:r>
              </m:sub>
              <m:sup>
                <m:r>
                  <w:rPr>
                    <w:rFonts w:ascii="Cambria Math" w:hAnsi="Cambria Math"/>
                    <w:lang w:val="en-US"/>
                  </w:rPr>
                  <m:t>*</m:t>
                </m:r>
              </m:sup>
            </m:sSubSup>
          </m:e>
        </m:d>
      </m:oMath>
      <w:r w:rsidRPr="00A93A6F">
        <w:rPr>
          <w:lang w:val="en-US"/>
        </w:rPr>
        <w:t xml:space="preserve"> and </w:t>
      </w:r>
      <m:oMath>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app</m:t>
            </m:r>
          </m:sub>
        </m:sSub>
      </m:oMath>
      <w:r w:rsidRPr="00A93A6F">
        <w:rPr>
          <w:lang w:val="en-US"/>
        </w:rPr>
        <w:t xml:space="preserve"> is required. This is done iteratively as described in </w:t>
      </w:r>
      <w:r w:rsidRPr="00A93A6F">
        <w:rPr>
          <w:b/>
          <w:lang w:val="en-US"/>
        </w:rPr>
        <w:t>Figure 4</w:t>
      </w:r>
      <w:r w:rsidRPr="00A93A6F">
        <w:rPr>
          <w:lang w:val="en-US"/>
        </w:rPr>
        <w:t xml:space="preserve">. </w:t>
      </w:r>
    </w:p>
    <w:p w14:paraId="744EDB11" w14:textId="5DD18E77" w:rsidR="00437BE5" w:rsidRPr="00A93A6F" w:rsidRDefault="00437BE5" w:rsidP="00437BE5">
      <w:pPr>
        <w:spacing w:line="360" w:lineRule="auto"/>
        <w:jc w:val="both"/>
        <w:rPr>
          <w:lang w:val="en-US"/>
        </w:rPr>
      </w:pPr>
      <w:r w:rsidRPr="00A93A6F">
        <w:rPr>
          <w:lang w:val="en-US"/>
        </w:rPr>
        <w:t xml:space="preserve">Initially, a fixed </w:t>
      </w:r>
      <m:oMath>
        <m:d>
          <m:dPr>
            <m:begChr m:val="|"/>
            <m:endChr m:val="|"/>
            <m:ctrlPr>
              <w:rPr>
                <w:rFonts w:ascii="Cambria Math" w:hAnsi="Cambria Math"/>
                <w:lang w:val="en-US"/>
              </w:rPr>
            </m:ctrlPr>
          </m:dPr>
          <m:e>
            <m:sSubSup>
              <m:sSubSupPr>
                <m:ctrlPr>
                  <w:rPr>
                    <w:rFonts w:ascii="Cambria Math" w:hAnsi="Cambria Math"/>
                    <w:lang w:val="en-US"/>
                  </w:rPr>
                </m:ctrlPr>
              </m:sSubSupPr>
              <m:e>
                <m:r>
                  <w:rPr>
                    <w:rFonts w:ascii="Cambria Math" w:hAnsi="Cambria Math"/>
                    <w:lang w:val="en-US"/>
                  </w:rPr>
                  <m:t>G</m:t>
                </m:r>
              </m:e>
              <m:sub>
                <m:r>
                  <w:rPr>
                    <w:rFonts w:ascii="Cambria Math" w:hAnsi="Cambria Math"/>
                    <w:lang w:val="en-US"/>
                  </w:rPr>
                  <m:t>s</m:t>
                </m:r>
              </m:sub>
              <m:sup>
                <m:r>
                  <w:rPr>
                    <w:rFonts w:ascii="Cambria Math" w:hAnsi="Cambria Math"/>
                    <w:lang w:val="en-US"/>
                  </w:rPr>
                  <m:t>*</m:t>
                </m:r>
              </m:sup>
            </m:sSubSup>
          </m:e>
        </m:d>
      </m:oMath>
      <w:r w:rsidRPr="00A93A6F">
        <w:rPr>
          <w:lang w:val="en-US"/>
        </w:rPr>
        <w:t xml:space="preserve">and </w:t>
      </w:r>
      <m:oMath>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app</m:t>
            </m:r>
          </m:sub>
        </m:sSub>
      </m:oMath>
      <w:r w:rsidRPr="00A93A6F">
        <w:rPr>
          <w:lang w:val="en-US"/>
        </w:rPr>
        <w:t xml:space="preserve"> </w:t>
      </w:r>
      <w:r w:rsidR="006A77CC" w:rsidRPr="00A93A6F">
        <w:rPr>
          <w:lang w:val="en-US"/>
        </w:rPr>
        <w:t xml:space="preserve">are </w:t>
      </w:r>
      <w:r w:rsidRPr="00A93A6F">
        <w:rPr>
          <w:lang w:val="en-US"/>
        </w:rPr>
        <w:t xml:space="preserve">chosen and the procedure is initiated. These initial values are system and batch-dependent. To minimize the parameter space, we choose the initial value of </w:t>
      </w:r>
      <m:oMath>
        <m:d>
          <m:dPr>
            <m:begChr m:val="|"/>
            <m:endChr m:val="|"/>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G</m:t>
                </m:r>
              </m:e>
              <m:sub>
                <m:r>
                  <w:rPr>
                    <w:rFonts w:ascii="Cambria Math" w:hAnsi="Cambria Math"/>
                    <w:lang w:val="en-US"/>
                  </w:rPr>
                  <m:t>s</m:t>
                </m:r>
              </m:sub>
              <m:sup>
                <m:r>
                  <w:rPr>
                    <w:rFonts w:ascii="Cambria Math" w:hAnsi="Cambria Math"/>
                    <w:lang w:val="en-US"/>
                  </w:rPr>
                  <m:t>*</m:t>
                </m:r>
              </m:sup>
            </m:sSubSup>
          </m:e>
        </m:d>
      </m:oMath>
      <w:r w:rsidRPr="00A93A6F">
        <w:rPr>
          <w:lang w:val="en-US"/>
        </w:rPr>
        <w:t xml:space="preserve"> to be close to the cross-over modulus </w:t>
      </w:r>
      <m:oMath>
        <m:d>
          <m:dPr>
            <m:begChr m:val="|"/>
            <m:endChr m:val="|"/>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G</m:t>
                </m:r>
              </m:e>
              <m:sub>
                <m:r>
                  <w:rPr>
                    <w:rFonts w:ascii="Cambria Math" w:hAnsi="Cambria Math"/>
                    <w:lang w:val="en-US"/>
                  </w:rPr>
                  <m:t>c</m:t>
                </m:r>
              </m:sub>
              <m:sup>
                <m:r>
                  <w:rPr>
                    <w:rFonts w:ascii="Cambria Math" w:hAnsi="Cambria Math"/>
                    <w:lang w:val="en-US"/>
                  </w:rPr>
                  <m:t>*</m:t>
                </m:r>
              </m:sup>
            </m:sSubSup>
          </m:e>
        </m:d>
      </m:oMath>
      <w:r w:rsidRPr="00A93A6F">
        <w:rPr>
          <w:lang w:val="en-US"/>
        </w:rPr>
        <w:t xml:space="preserve"> (</w:t>
      </w:r>
      <w:r w:rsidRPr="00A93A6F">
        <w:rPr>
          <w:b/>
          <w:bCs/>
          <w:lang w:val="en-US"/>
        </w:rPr>
        <w:t>Figure 2.a)</w:t>
      </w:r>
      <w:r w:rsidRPr="00A93A6F">
        <w:rPr>
          <w:lang w:val="en-US"/>
        </w:rPr>
        <w:t>, preferabl</w:t>
      </w:r>
      <w:r w:rsidR="00482FC6" w:rsidRPr="00A93A6F">
        <w:rPr>
          <w:lang w:val="en-US"/>
        </w:rPr>
        <w:t>y</w:t>
      </w:r>
      <w:r w:rsidRPr="00A93A6F">
        <w:rPr>
          <w:lang w:val="en-US"/>
        </w:rPr>
        <w:t xml:space="preserve"> above the detection limit of the rheometer. In the case of gels prepared with 1 mg/ml collagen type-I, we find that </w:t>
      </w:r>
      <m:oMath>
        <m:d>
          <m:dPr>
            <m:begChr m:val="|"/>
            <m:endChr m:val="|"/>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G</m:t>
                </m:r>
              </m:e>
              <m:sub>
                <m:r>
                  <w:rPr>
                    <w:rFonts w:ascii="Cambria Math" w:hAnsi="Cambria Math"/>
                    <w:lang w:val="en-US"/>
                  </w:rPr>
                  <m:t>c</m:t>
                </m:r>
              </m:sub>
              <m:sup>
                <m:r>
                  <w:rPr>
                    <w:rFonts w:ascii="Cambria Math" w:hAnsi="Cambria Math"/>
                    <w:lang w:val="en-US"/>
                  </w:rPr>
                  <m:t>*</m:t>
                </m:r>
              </m:sup>
            </m:sSubSup>
          </m:e>
        </m:d>
      </m:oMath>
      <w:r w:rsidRPr="00A93A6F">
        <w:rPr>
          <w:lang w:val="en-US"/>
        </w:rPr>
        <w:t xml:space="preserve"> </w:t>
      </w:r>
      <m:oMath>
        <m:r>
          <w:rPr>
            <w:rFonts w:ascii="Cambria Math" w:hAnsi="Cambria Math"/>
            <w:lang w:val="en-US"/>
          </w:rPr>
          <m:t>=0.45±0.12</m:t>
        </m:r>
      </m:oMath>
      <w:r w:rsidRPr="00A93A6F">
        <w:rPr>
          <w:lang w:val="en-US"/>
        </w:rPr>
        <w:t xml:space="preserve"> Pa at 27 </w:t>
      </w:r>
      <w:r w:rsidRPr="00A93A6F">
        <w:rPr>
          <w:vertAlign w:val="superscript"/>
          <w:lang w:val="en-US"/>
        </w:rPr>
        <w:t>◦</w:t>
      </w:r>
      <w:r w:rsidRPr="00A93A6F">
        <w:rPr>
          <w:lang w:val="en-US"/>
        </w:rPr>
        <w:t xml:space="preserve">C and </w:t>
      </w:r>
      <m:oMath>
        <m:d>
          <m:dPr>
            <m:begChr m:val="|"/>
            <m:endChr m:val="|"/>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G</m:t>
                </m:r>
              </m:e>
              <m:sub>
                <m:r>
                  <w:rPr>
                    <w:rFonts w:ascii="Cambria Math" w:hAnsi="Cambria Math"/>
                    <w:lang w:val="en-US"/>
                  </w:rPr>
                  <m:t>c</m:t>
                </m:r>
              </m:sub>
              <m:sup>
                <m:r>
                  <w:rPr>
                    <w:rFonts w:ascii="Cambria Math" w:hAnsi="Cambria Math"/>
                    <w:lang w:val="en-US"/>
                  </w:rPr>
                  <m:t>*</m:t>
                </m:r>
              </m:sup>
            </m:sSubSup>
          </m:e>
        </m:d>
      </m:oMath>
      <w:r w:rsidRPr="00A93A6F">
        <w:rPr>
          <w:lang w:val="en-US"/>
        </w:rPr>
        <w:t xml:space="preserve"> </w:t>
      </w:r>
      <m:oMath>
        <m:r>
          <w:rPr>
            <w:rFonts w:ascii="Cambria Math" w:hAnsi="Cambria Math"/>
            <w:lang w:val="en-US"/>
          </w:rPr>
          <m:t>=0.17±0.05</m:t>
        </m:r>
      </m:oMath>
      <w:r w:rsidRPr="00A93A6F">
        <w:rPr>
          <w:lang w:val="en-US"/>
        </w:rPr>
        <w:t xml:space="preserve"> Pa at 37 </w:t>
      </w:r>
      <w:r w:rsidRPr="00A93A6F">
        <w:rPr>
          <w:vertAlign w:val="superscript"/>
          <w:lang w:val="en-US"/>
        </w:rPr>
        <w:t>◦</w:t>
      </w:r>
      <w:r w:rsidRPr="00A93A6F">
        <w:rPr>
          <w:lang w:val="en-US"/>
        </w:rPr>
        <w:t xml:space="preserve">C. The error bar in </w:t>
      </w:r>
      <m:oMath>
        <m:d>
          <m:dPr>
            <m:begChr m:val="|"/>
            <m:endChr m:val="|"/>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G</m:t>
                </m:r>
              </m:e>
              <m:sub>
                <m:r>
                  <w:rPr>
                    <w:rFonts w:ascii="Cambria Math" w:hAnsi="Cambria Math"/>
                    <w:lang w:val="en-US"/>
                  </w:rPr>
                  <m:t>c</m:t>
                </m:r>
              </m:sub>
              <m:sup>
                <m:r>
                  <w:rPr>
                    <w:rFonts w:ascii="Cambria Math" w:hAnsi="Cambria Math"/>
                    <w:lang w:val="en-US"/>
                  </w:rPr>
                  <m:t>*</m:t>
                </m:r>
              </m:sup>
            </m:sSubSup>
          </m:e>
        </m:d>
      </m:oMath>
      <w:r w:rsidRPr="00A93A6F">
        <w:rPr>
          <w:lang w:val="en-US"/>
        </w:rPr>
        <w:t xml:space="preserve"> is mainly due to the fact that the effective torque for this measurement approaches the torque limit of the rheometer (</w:t>
      </w:r>
      <m:oMath>
        <m:d>
          <m:dPr>
            <m:begChr m:val="|"/>
            <m:endChr m:val="|"/>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G</m:t>
                </m:r>
              </m:e>
              <m:sub>
                <m:r>
                  <w:rPr>
                    <w:rFonts w:ascii="Cambria Math" w:hAnsi="Cambria Math"/>
                    <w:lang w:val="en-US"/>
                  </w:rPr>
                  <m:t>limit</m:t>
                </m:r>
              </m:sub>
              <m:sup>
                <m:r>
                  <w:rPr>
                    <w:rFonts w:ascii="Cambria Math" w:hAnsi="Cambria Math"/>
                    <w:lang w:val="en-US"/>
                  </w:rPr>
                  <m:t>*</m:t>
                </m:r>
              </m:sup>
            </m:sSubSup>
          </m:e>
        </m:d>
        <m:r>
          <w:rPr>
            <w:rFonts w:ascii="Cambria Math" w:hAnsi="Cambria Math"/>
            <w:lang w:val="en-US"/>
          </w:rPr>
          <m:t>=0.66 ±0.04</m:t>
        </m:r>
      </m:oMath>
      <w:r w:rsidRPr="00A93A6F">
        <w:rPr>
          <w:lang w:val="en-US"/>
        </w:rPr>
        <w:t xml:space="preserve"> Pa). For </w:t>
      </w:r>
      <w:r w:rsidR="00E95963" w:rsidRPr="00A93A6F">
        <w:rPr>
          <w:lang w:val="en-US"/>
        </w:rPr>
        <w:t xml:space="preserve">a </w:t>
      </w:r>
      <w:r w:rsidRPr="00A93A6F">
        <w:rPr>
          <w:lang w:val="en-US"/>
        </w:rPr>
        <w:t xml:space="preserve">1 mg/ml collagen hydrogel, we choose </w:t>
      </w:r>
      <m:oMath>
        <m:d>
          <m:dPr>
            <m:begChr m:val="|"/>
            <m:endChr m:val="|"/>
            <m:ctrlPr>
              <w:rPr>
                <w:rFonts w:ascii="Cambria Math" w:hAnsi="Cambria Math"/>
                <w:lang w:val="en-US"/>
              </w:rPr>
            </m:ctrlPr>
          </m:dPr>
          <m:e>
            <m:sSubSup>
              <m:sSubSupPr>
                <m:ctrlPr>
                  <w:rPr>
                    <w:rFonts w:ascii="Cambria Math" w:hAnsi="Cambria Math"/>
                    <w:lang w:val="en-US"/>
                  </w:rPr>
                </m:ctrlPr>
              </m:sSubSupPr>
              <m:e>
                <m:r>
                  <w:rPr>
                    <w:rFonts w:ascii="Cambria Math" w:hAnsi="Cambria Math"/>
                    <w:lang w:val="en-US"/>
                  </w:rPr>
                  <m:t>G</m:t>
                </m:r>
              </m:e>
              <m:sub>
                <m:r>
                  <w:rPr>
                    <w:rFonts w:ascii="Cambria Math" w:hAnsi="Cambria Math"/>
                    <w:lang w:val="en-US"/>
                  </w:rPr>
                  <m:t>s</m:t>
                </m:r>
              </m:sub>
              <m:sup>
                <m:r>
                  <w:rPr>
                    <w:rFonts w:ascii="Cambria Math" w:hAnsi="Cambria Math"/>
                    <w:lang w:val="en-US"/>
                  </w:rPr>
                  <m:t>*</m:t>
                </m:r>
              </m:sup>
            </m:sSubSup>
          </m:e>
        </m:d>
        <m:r>
          <w:rPr>
            <w:rFonts w:ascii="Cambria Math" w:hAnsi="Cambria Math"/>
            <w:lang w:val="en-US"/>
          </w:rPr>
          <m:t>=3×</m:t>
        </m:r>
        <m:d>
          <m:dPr>
            <m:begChr m:val="|"/>
            <m:endChr m:val="|"/>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G</m:t>
                </m:r>
              </m:e>
              <m:sub>
                <m:r>
                  <w:rPr>
                    <w:rFonts w:ascii="Cambria Math" w:hAnsi="Cambria Math"/>
                    <w:lang w:val="en-US"/>
                  </w:rPr>
                  <m:t>c</m:t>
                </m:r>
              </m:sub>
              <m:sup>
                <m:r>
                  <w:rPr>
                    <w:rFonts w:ascii="Cambria Math" w:hAnsi="Cambria Math"/>
                    <w:lang w:val="en-US"/>
                  </w:rPr>
                  <m:t>*</m:t>
                </m:r>
              </m:sup>
            </m:sSubSup>
          </m:e>
        </m:d>
      </m:oMath>
      <w:r w:rsidRPr="00A93A6F">
        <w:rPr>
          <w:lang w:val="en-US"/>
        </w:rPr>
        <w:t xml:space="preserve"> (1.35 Pa) and </w:t>
      </w:r>
      <m:oMath>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app</m:t>
            </m:r>
          </m:sub>
        </m:sSub>
        <m:r>
          <w:rPr>
            <w:rFonts w:ascii="Cambria Math" w:hAnsi="Cambria Math"/>
            <w:lang w:val="en-US"/>
          </w:rPr>
          <m:t xml:space="preserve">=1.0 </m:t>
        </m:r>
      </m:oMath>
      <w:r w:rsidRPr="00A93A6F">
        <w:rPr>
          <w:lang w:val="en-US"/>
        </w:rPr>
        <w:t>Pa as starting values. When the sample ruptures and flows (</w:t>
      </w:r>
      <w:r w:rsidRPr="00A93A6F">
        <w:rPr>
          <w:i/>
          <w:iCs/>
          <w:lang w:val="en-US"/>
        </w:rPr>
        <w:t xml:space="preserve">i.e., </w:t>
      </w:r>
      <w:r w:rsidRPr="00A93A6F">
        <w:rPr>
          <w:lang w:val="en-US"/>
        </w:rPr>
        <w:t xml:space="preserve">breaks), given the chosen </w:t>
      </w:r>
      <m:oMath>
        <m:d>
          <m:dPr>
            <m:begChr m:val="|"/>
            <m:endChr m:val="|"/>
            <m:ctrlPr>
              <w:rPr>
                <w:rFonts w:ascii="Cambria Math" w:hAnsi="Cambria Math"/>
                <w:lang w:val="en-US"/>
              </w:rPr>
            </m:ctrlPr>
          </m:dPr>
          <m:e>
            <m:sSubSup>
              <m:sSubSupPr>
                <m:ctrlPr>
                  <w:rPr>
                    <w:rFonts w:ascii="Cambria Math" w:hAnsi="Cambria Math"/>
                    <w:lang w:val="en-US"/>
                  </w:rPr>
                </m:ctrlPr>
              </m:sSubSupPr>
              <m:e>
                <m:r>
                  <w:rPr>
                    <w:rFonts w:ascii="Cambria Math" w:hAnsi="Cambria Math"/>
                    <w:lang w:val="en-US"/>
                  </w:rPr>
                  <m:t>G</m:t>
                </m:r>
              </m:e>
              <m:sub>
                <m:r>
                  <w:rPr>
                    <w:rFonts w:ascii="Cambria Math" w:hAnsi="Cambria Math"/>
                    <w:lang w:val="en-US"/>
                  </w:rPr>
                  <m:t>s</m:t>
                </m:r>
              </m:sub>
              <m:sup>
                <m:r>
                  <w:rPr>
                    <w:rFonts w:ascii="Cambria Math" w:hAnsi="Cambria Math"/>
                    <w:lang w:val="en-US"/>
                  </w:rPr>
                  <m:t>*</m:t>
                </m:r>
              </m:sup>
            </m:sSubSup>
          </m:e>
        </m:d>
      </m:oMath>
      <w:r w:rsidRPr="00A93A6F">
        <w:rPr>
          <w:lang w:val="en-US"/>
        </w:rPr>
        <w:t xml:space="preserve"> and </w:t>
      </w:r>
      <m:oMath>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app</m:t>
            </m:r>
          </m:sub>
        </m:sSub>
      </m:oMath>
      <w:r w:rsidRPr="00A93A6F">
        <w:rPr>
          <w:lang w:val="en-US"/>
        </w:rPr>
        <w:t xml:space="preserve">, the procedure is repeated with a lower </w:t>
      </w:r>
      <m:oMath>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app</m:t>
            </m:r>
          </m:sub>
        </m:sSub>
      </m:oMath>
      <w:r w:rsidRPr="00A93A6F">
        <w:rPr>
          <w:lang w:val="en-US"/>
        </w:rPr>
        <w:t xml:space="preserve"> and/or a higher </w:t>
      </w:r>
      <m:oMath>
        <m:d>
          <m:dPr>
            <m:begChr m:val="|"/>
            <m:endChr m:val="|"/>
            <m:ctrlPr>
              <w:rPr>
                <w:rFonts w:ascii="Cambria Math" w:hAnsi="Cambria Math"/>
                <w:lang w:val="en-US"/>
              </w:rPr>
            </m:ctrlPr>
          </m:dPr>
          <m:e>
            <m:sSubSup>
              <m:sSubSupPr>
                <m:ctrlPr>
                  <w:rPr>
                    <w:rFonts w:ascii="Cambria Math" w:hAnsi="Cambria Math"/>
                    <w:lang w:val="en-US"/>
                  </w:rPr>
                </m:ctrlPr>
              </m:sSubSupPr>
              <m:e>
                <m:r>
                  <w:rPr>
                    <w:rFonts w:ascii="Cambria Math" w:hAnsi="Cambria Math"/>
                    <w:lang w:val="en-US"/>
                  </w:rPr>
                  <m:t>G</m:t>
                </m:r>
              </m:e>
              <m:sub>
                <m:r>
                  <w:rPr>
                    <w:rFonts w:ascii="Cambria Math" w:hAnsi="Cambria Math"/>
                    <w:lang w:val="en-US"/>
                  </w:rPr>
                  <m:t>s</m:t>
                </m:r>
              </m:sub>
              <m:sup>
                <m:r>
                  <w:rPr>
                    <w:rFonts w:ascii="Cambria Math" w:hAnsi="Cambria Math"/>
                    <w:lang w:val="en-US"/>
                  </w:rPr>
                  <m:t>*</m:t>
                </m:r>
              </m:sup>
            </m:sSubSup>
          </m:e>
        </m:d>
      </m:oMath>
      <w:r w:rsidRPr="00A93A6F">
        <w:rPr>
          <w:lang w:val="en-US"/>
        </w:rPr>
        <w:t xml:space="preserve">. When a stable strained gel is formed but </w:t>
      </w:r>
      <m:oMath>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ind</m:t>
            </m:r>
          </m:sub>
        </m:sSub>
      </m:oMath>
      <w:r w:rsidRPr="00A93A6F">
        <w:rPr>
          <w:lang w:val="en-US"/>
        </w:rPr>
        <w:t xml:space="preserve"> is too low for the desired application, the procedure is repeated with a higher </w:t>
      </w:r>
      <m:oMath>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app</m:t>
            </m:r>
          </m:sub>
        </m:sSub>
      </m:oMath>
      <w:r w:rsidRPr="00A93A6F">
        <w:rPr>
          <w:lang w:val="en-US"/>
        </w:rPr>
        <w:t xml:space="preserve"> and/or a lower </w:t>
      </w:r>
      <m:oMath>
        <m:d>
          <m:dPr>
            <m:begChr m:val="|"/>
            <m:endChr m:val="|"/>
            <m:ctrlPr>
              <w:rPr>
                <w:rFonts w:ascii="Cambria Math" w:hAnsi="Cambria Math"/>
                <w:lang w:val="en-US"/>
              </w:rPr>
            </m:ctrlPr>
          </m:dPr>
          <m:e>
            <m:sSubSup>
              <m:sSubSupPr>
                <m:ctrlPr>
                  <w:rPr>
                    <w:rFonts w:ascii="Cambria Math" w:hAnsi="Cambria Math"/>
                    <w:lang w:val="en-US"/>
                  </w:rPr>
                </m:ctrlPr>
              </m:sSubSupPr>
              <m:e>
                <m:r>
                  <w:rPr>
                    <w:rFonts w:ascii="Cambria Math" w:hAnsi="Cambria Math"/>
                    <w:lang w:val="en-US"/>
                  </w:rPr>
                  <m:t>G</m:t>
                </m:r>
              </m:e>
              <m:sub>
                <m:r>
                  <w:rPr>
                    <w:rFonts w:ascii="Cambria Math" w:hAnsi="Cambria Math"/>
                    <w:lang w:val="en-US"/>
                  </w:rPr>
                  <m:t>s</m:t>
                </m:r>
              </m:sub>
              <m:sup>
                <m:r>
                  <w:rPr>
                    <w:rFonts w:ascii="Cambria Math" w:hAnsi="Cambria Math"/>
                    <w:lang w:val="en-US"/>
                  </w:rPr>
                  <m:t>*</m:t>
                </m:r>
              </m:sup>
            </m:sSubSup>
          </m:e>
        </m:d>
      </m:oMath>
      <w:r w:rsidRPr="00A93A6F">
        <w:rPr>
          <w:lang w:val="en-US"/>
        </w:rPr>
        <w:t>.</w:t>
      </w:r>
    </w:p>
    <w:p w14:paraId="103721FA" w14:textId="6018F122" w:rsidR="00437BE5" w:rsidRPr="00A93A6F" w:rsidRDefault="00437BE5" w:rsidP="00437BE5">
      <w:pPr>
        <w:spacing w:line="360" w:lineRule="auto"/>
        <w:jc w:val="both"/>
        <w:rPr>
          <w:lang w:val="en-US"/>
        </w:rPr>
      </w:pPr>
      <w:r w:rsidRPr="00A93A6F">
        <w:rPr>
          <w:lang w:val="en-US"/>
        </w:rPr>
        <w:lastRenderedPageBreak/>
        <w:t xml:space="preserve">To demonstrate the tunability of </w:t>
      </w:r>
      <m:oMath>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ind</m:t>
            </m:r>
          </m:sub>
        </m:sSub>
      </m:oMath>
      <w:r w:rsidRPr="00A93A6F">
        <w:rPr>
          <w:lang w:val="en-US"/>
        </w:rPr>
        <w:t xml:space="preserve">, using </w:t>
      </w:r>
      <m:oMath>
        <m:d>
          <m:dPr>
            <m:begChr m:val="|"/>
            <m:endChr m:val="|"/>
            <m:ctrlPr>
              <w:rPr>
                <w:rFonts w:ascii="Cambria Math" w:hAnsi="Cambria Math"/>
                <w:lang w:val="en-US"/>
              </w:rPr>
            </m:ctrlPr>
          </m:dPr>
          <m:e>
            <m:sSubSup>
              <m:sSubSupPr>
                <m:ctrlPr>
                  <w:rPr>
                    <w:rFonts w:ascii="Cambria Math" w:hAnsi="Cambria Math"/>
                    <w:lang w:val="en-US"/>
                  </w:rPr>
                </m:ctrlPr>
              </m:sSubSupPr>
              <m:e>
                <m:r>
                  <w:rPr>
                    <w:rFonts w:ascii="Cambria Math" w:hAnsi="Cambria Math"/>
                    <w:lang w:val="en-US"/>
                  </w:rPr>
                  <m:t>G</m:t>
                </m:r>
              </m:e>
              <m:sub>
                <m:r>
                  <w:rPr>
                    <w:rFonts w:ascii="Cambria Math" w:hAnsi="Cambria Math"/>
                    <w:lang w:val="en-US"/>
                  </w:rPr>
                  <m:t>s</m:t>
                </m:r>
              </m:sub>
              <m:sup>
                <m:r>
                  <w:rPr>
                    <w:rFonts w:ascii="Cambria Math" w:hAnsi="Cambria Math"/>
                    <w:lang w:val="en-US"/>
                  </w:rPr>
                  <m:t>*</m:t>
                </m:r>
              </m:sup>
            </m:sSubSup>
          </m:e>
        </m:d>
      </m:oMath>
      <w:r w:rsidRPr="00A93A6F">
        <w:rPr>
          <w:lang w:val="en-US"/>
        </w:rPr>
        <w:t xml:space="preserve"> as a control parameter, </w:t>
      </w:r>
      <m:oMath>
        <m:d>
          <m:dPr>
            <m:begChr m:val="|"/>
            <m:endChr m:val="|"/>
            <m:ctrlPr>
              <w:rPr>
                <w:rFonts w:ascii="Cambria Math" w:hAnsi="Cambria Math"/>
                <w:lang w:val="en-US"/>
              </w:rPr>
            </m:ctrlPr>
          </m:dPr>
          <m:e>
            <m:sSubSup>
              <m:sSubSupPr>
                <m:ctrlPr>
                  <w:rPr>
                    <w:rFonts w:ascii="Cambria Math" w:hAnsi="Cambria Math"/>
                    <w:lang w:val="en-US"/>
                  </w:rPr>
                </m:ctrlPr>
              </m:sSubSupPr>
              <m:e>
                <m:r>
                  <w:rPr>
                    <w:rFonts w:ascii="Cambria Math" w:hAnsi="Cambria Math"/>
                    <w:lang w:val="en-US"/>
                  </w:rPr>
                  <m:t>G</m:t>
                </m:r>
              </m:e>
              <m:sub>
                <m:r>
                  <w:rPr>
                    <w:rFonts w:ascii="Cambria Math" w:hAnsi="Cambria Math"/>
                    <w:lang w:val="en-US"/>
                  </w:rPr>
                  <m:t>s</m:t>
                </m:r>
              </m:sub>
              <m:sup>
                <m:r>
                  <w:rPr>
                    <w:rFonts w:ascii="Cambria Math" w:hAnsi="Cambria Math"/>
                    <w:lang w:val="en-US"/>
                  </w:rPr>
                  <m:t>*</m:t>
                </m:r>
              </m:sup>
            </m:sSubSup>
          </m:e>
        </m:d>
      </m:oMath>
      <w:r w:rsidRPr="00A93A6F">
        <w:rPr>
          <w:lang w:val="en-US"/>
        </w:rPr>
        <w:t xml:space="preserve"> was varied while keeping </w:t>
      </w:r>
      <m:oMath>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app</m:t>
            </m:r>
          </m:sub>
        </m:sSub>
      </m:oMath>
      <w:r w:rsidRPr="00A93A6F">
        <w:rPr>
          <w:lang w:val="en-US"/>
        </w:rPr>
        <w:t xml:space="preserve"> constant. The value of </w:t>
      </w:r>
      <m:oMath>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app</m:t>
            </m:r>
          </m:sub>
        </m:sSub>
      </m:oMath>
      <w:r w:rsidRPr="00A93A6F">
        <w:rPr>
          <w:lang w:val="en-US"/>
        </w:rPr>
        <w:t xml:space="preserve"> was determined by the optimization process described above, resulting in values of 1.5 and 3.0 Pa for samples solidified at 27 and 37 </w:t>
      </w:r>
      <w:r w:rsidRPr="00A93A6F">
        <w:rPr>
          <w:vertAlign w:val="superscript"/>
          <w:lang w:val="en-US"/>
        </w:rPr>
        <w:t>◦</w:t>
      </w:r>
      <w:r w:rsidRPr="00A93A6F">
        <w:rPr>
          <w:lang w:val="en-US"/>
        </w:rPr>
        <w:t xml:space="preserve">C respectively. In this manner, a broad range of </w:t>
      </w:r>
      <m:oMath>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ind</m:t>
            </m:r>
          </m:sub>
        </m:sSub>
      </m:oMath>
      <w:r w:rsidRPr="00A93A6F">
        <w:rPr>
          <w:lang w:val="en-US"/>
        </w:rPr>
        <w:t xml:space="preserve"> was obtained (between 0.0 and 127.0 %) for samples solidified at 27 </w:t>
      </w:r>
      <w:r w:rsidRPr="00A93A6F">
        <w:rPr>
          <w:vertAlign w:val="superscript"/>
          <w:lang w:val="en-US"/>
        </w:rPr>
        <w:t>◦</w:t>
      </w:r>
      <w:r w:rsidRPr="00A93A6F">
        <w:rPr>
          <w:lang w:val="en-US"/>
        </w:rPr>
        <w:t xml:space="preserve">C, as displayed in </w:t>
      </w:r>
      <w:r w:rsidRPr="00A93A6F">
        <w:rPr>
          <w:b/>
          <w:lang w:val="en-US"/>
        </w:rPr>
        <w:t>Figure 3.a</w:t>
      </w:r>
      <w:r w:rsidRPr="00A93A6F">
        <w:rPr>
          <w:lang w:val="en-US"/>
        </w:rPr>
        <w:t xml:space="preserve">. The range </w:t>
      </w:r>
      <w:r w:rsidR="00E95963" w:rsidRPr="00A93A6F">
        <w:rPr>
          <w:lang w:val="en-US"/>
        </w:rPr>
        <w:t xml:space="preserve">of </w:t>
      </w:r>
      <m:oMath>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ind</m:t>
            </m:r>
          </m:sub>
        </m:sSub>
        <m:r>
          <w:rPr>
            <w:rFonts w:ascii="Cambria Math" w:hAnsi="Cambria Math"/>
            <w:lang w:val="en-US"/>
          </w:rPr>
          <m:t xml:space="preserve"> </m:t>
        </m:r>
      </m:oMath>
      <w:r w:rsidRPr="00A93A6F">
        <w:rPr>
          <w:lang w:val="en-US"/>
        </w:rPr>
        <w:t xml:space="preserve">for samples solidified at 37 </w:t>
      </w:r>
      <w:r w:rsidRPr="00A93A6F">
        <w:rPr>
          <w:vertAlign w:val="superscript"/>
          <w:lang w:val="en-US"/>
        </w:rPr>
        <w:t>◦</w:t>
      </w:r>
      <w:r w:rsidRPr="00A93A6F">
        <w:rPr>
          <w:lang w:val="en-US"/>
        </w:rPr>
        <w:t xml:space="preserve">C was more limited with a maximum </w:t>
      </w:r>
      <m:oMath>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ind</m:t>
            </m:r>
          </m:sub>
        </m:sSub>
      </m:oMath>
      <w:r w:rsidRPr="00A93A6F">
        <w:rPr>
          <w:lang w:val="en-US"/>
        </w:rPr>
        <w:t xml:space="preserve"> of 73 % (</w:t>
      </w:r>
      <w:r w:rsidR="00481187" w:rsidRPr="00A93A6F">
        <w:rPr>
          <w:b/>
          <w:lang w:val="en-US"/>
        </w:rPr>
        <w:t>Figure S</w:t>
      </w:r>
      <w:r w:rsidR="00602FFE" w:rsidRPr="00A93A6F">
        <w:rPr>
          <w:b/>
          <w:lang w:val="en-US"/>
        </w:rPr>
        <w:t>3</w:t>
      </w:r>
      <w:r w:rsidRPr="00A93A6F">
        <w:rPr>
          <w:lang w:val="en-US"/>
        </w:rPr>
        <w:t xml:space="preserve">). Due to the higher </w:t>
      </w:r>
      <m:oMath>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ind</m:t>
            </m:r>
          </m:sub>
        </m:sSub>
      </m:oMath>
      <w:r w:rsidRPr="00A93A6F">
        <w:rPr>
          <w:lang w:val="en-US"/>
        </w:rPr>
        <w:t xml:space="preserve"> being obtained all further results are obtained using a curing temperature of 27 </w:t>
      </w:r>
      <w:r w:rsidRPr="00A93A6F">
        <w:rPr>
          <w:vertAlign w:val="superscript"/>
          <w:lang w:val="en-US"/>
        </w:rPr>
        <w:t>◦</w:t>
      </w:r>
      <w:r w:rsidRPr="00A93A6F">
        <w:rPr>
          <w:lang w:val="en-US"/>
        </w:rPr>
        <w:t>C unless specified otherwise.</w:t>
      </w:r>
    </w:p>
    <w:p w14:paraId="2E1F1E9B" w14:textId="5817D265" w:rsidR="00437BE5" w:rsidRPr="00A93A6F" w:rsidRDefault="00437BE5" w:rsidP="00437BE5">
      <w:pPr>
        <w:spacing w:line="360" w:lineRule="auto"/>
        <w:jc w:val="both"/>
        <w:rPr>
          <w:lang w:val="en-US"/>
        </w:rPr>
      </w:pPr>
      <w:r w:rsidRPr="00A93A6F">
        <w:rPr>
          <w:lang w:val="en-US"/>
        </w:rPr>
        <w:t xml:space="preserve">Equivalently to </w:t>
      </w:r>
      <m:oMath>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ind</m:t>
            </m:r>
          </m:sub>
        </m:sSub>
      </m:oMath>
      <w:r w:rsidRPr="00A93A6F">
        <w:rPr>
          <w:lang w:val="en-US"/>
        </w:rPr>
        <w:t xml:space="preserve">, depending on the value of </w:t>
      </w:r>
      <m:oMath>
        <m:d>
          <m:dPr>
            <m:begChr m:val="|"/>
            <m:endChr m:val="|"/>
            <m:ctrlPr>
              <w:rPr>
                <w:rFonts w:ascii="Cambria Math" w:hAnsi="Cambria Math"/>
                <w:lang w:val="en-US"/>
              </w:rPr>
            </m:ctrlPr>
          </m:dPr>
          <m:e>
            <m:sSubSup>
              <m:sSubSupPr>
                <m:ctrlPr>
                  <w:rPr>
                    <w:rFonts w:ascii="Cambria Math" w:hAnsi="Cambria Math"/>
                    <w:lang w:val="en-US"/>
                  </w:rPr>
                </m:ctrlPr>
              </m:sSubSupPr>
              <m:e>
                <m:r>
                  <w:rPr>
                    <w:rFonts w:ascii="Cambria Math" w:hAnsi="Cambria Math"/>
                    <w:lang w:val="en-US"/>
                  </w:rPr>
                  <m:t>G</m:t>
                </m:r>
              </m:e>
              <m:sub>
                <m:r>
                  <w:rPr>
                    <w:rFonts w:ascii="Cambria Math" w:hAnsi="Cambria Math"/>
                    <w:lang w:val="en-US"/>
                  </w:rPr>
                  <m:t>s</m:t>
                </m:r>
              </m:sub>
              <m:sup>
                <m:r>
                  <w:rPr>
                    <w:rFonts w:ascii="Cambria Math" w:hAnsi="Cambria Math"/>
                    <w:lang w:val="en-US"/>
                  </w:rPr>
                  <m:t>*</m:t>
                </m:r>
              </m:sup>
            </m:sSubSup>
          </m:e>
        </m:d>
      </m:oMath>
      <w:r w:rsidRPr="00A93A6F">
        <w:rPr>
          <w:lang w:val="en-US"/>
        </w:rPr>
        <w:t>, different strain rates are exerted onto the material when applying a constant stress. The experimentally obtained strain rates were fitted to a power-law model (</w:t>
      </w:r>
      <m:oMath>
        <m:acc>
          <m:accPr>
            <m:chr m:val="̇"/>
            <m:ctrlPr>
              <w:rPr>
                <w:rFonts w:ascii="Cambria Math" w:hAnsi="Cambria Math"/>
                <w:lang w:val="en-US"/>
              </w:rPr>
            </m:ctrlPr>
          </m:accPr>
          <m:e>
            <m:r>
              <w:rPr>
                <w:rFonts w:ascii="Cambria Math" w:hAnsi="Cambria Math"/>
                <w:lang w:val="en-US"/>
              </w:rPr>
              <m:t>γ</m:t>
            </m:r>
          </m:e>
        </m:acc>
        <m:r>
          <w:rPr>
            <w:rFonts w:ascii="Cambria Math" w:hAnsi="Cambria Math"/>
            <w:lang w:val="en-US"/>
          </w:rPr>
          <m:t xml:space="preserve">=  </m:t>
        </m:r>
        <m:sSub>
          <m:sSubPr>
            <m:ctrlPr>
              <w:rPr>
                <w:rFonts w:ascii="Cambria Math" w:hAnsi="Cambria Math"/>
                <w:lang w:val="en-US"/>
              </w:rPr>
            </m:ctrlPr>
          </m:sSubPr>
          <m:e>
            <m:acc>
              <m:accPr>
                <m:chr m:val="̇"/>
                <m:ctrlPr>
                  <w:rPr>
                    <w:rFonts w:ascii="Cambria Math" w:hAnsi="Cambria Math"/>
                    <w:lang w:val="en-US"/>
                  </w:rPr>
                </m:ctrlPr>
              </m:accPr>
              <m:e>
                <m:r>
                  <w:rPr>
                    <w:rFonts w:ascii="Cambria Math" w:hAnsi="Cambria Math"/>
                    <w:lang w:val="en-US"/>
                  </w:rPr>
                  <m:t>γ</m:t>
                </m:r>
              </m:e>
            </m:acc>
          </m:e>
          <m:sub>
            <m:r>
              <w:rPr>
                <w:rFonts w:ascii="Cambria Math" w:hAnsi="Cambria Math"/>
                <w:lang w:val="en-US"/>
              </w:rPr>
              <m:t>0</m:t>
            </m:r>
          </m:sub>
        </m:sSub>
        <m:sSup>
          <m:sSupPr>
            <m:ctrlPr>
              <w:rPr>
                <w:rFonts w:ascii="Cambria Math" w:hAnsi="Cambria Math"/>
                <w:lang w:val="en-US"/>
              </w:rPr>
            </m:ctrlPr>
          </m:sSupPr>
          <m:e>
            <m:r>
              <w:rPr>
                <w:rFonts w:ascii="Cambria Math" w:hAnsi="Cambria Math"/>
                <w:lang w:val="en-US"/>
              </w:rPr>
              <m:t>t</m:t>
            </m:r>
          </m:e>
          <m:sup>
            <m:r>
              <w:rPr>
                <w:rFonts w:ascii="Cambria Math" w:hAnsi="Cambria Math"/>
                <w:lang w:val="en-US"/>
              </w:rPr>
              <m:t>β</m:t>
            </m:r>
          </m:sup>
        </m:sSup>
      </m:oMath>
      <w:r w:rsidRPr="00A93A6F">
        <w:rPr>
          <w:lang w:val="en-US"/>
        </w:rPr>
        <w:t xml:space="preserve">), where the fitting parameter </w:t>
      </w:r>
      <m:oMath>
        <m:r>
          <w:rPr>
            <w:rFonts w:ascii="Cambria Math" w:hAnsi="Cambria Math"/>
            <w:lang w:val="en-US"/>
          </w:rPr>
          <m:t>β</m:t>
        </m:r>
      </m:oMath>
      <w:r w:rsidRPr="00A93A6F">
        <w:rPr>
          <w:lang w:val="en-US"/>
        </w:rPr>
        <w:t xml:space="preserve"> was found to be a constant (-0.91 </w:t>
      </w:r>
      <m:oMath>
        <m:r>
          <w:rPr>
            <w:rFonts w:ascii="Cambria Math" w:hAnsi="Cambria Math"/>
            <w:lang w:val="en-US"/>
          </w:rPr>
          <m:t>±</m:t>
        </m:r>
      </m:oMath>
      <w:r w:rsidRPr="00A93A6F">
        <w:rPr>
          <w:lang w:val="en-US"/>
        </w:rPr>
        <w:t xml:space="preserve"> 0.19) while the zero-strain rate (</w:t>
      </w:r>
      <m:oMath>
        <m:sSub>
          <m:sSubPr>
            <m:ctrlPr>
              <w:rPr>
                <w:rFonts w:ascii="Cambria Math" w:hAnsi="Cambria Math"/>
                <w:lang w:val="en-US"/>
              </w:rPr>
            </m:ctrlPr>
          </m:sSubPr>
          <m:e>
            <m:acc>
              <m:accPr>
                <m:chr m:val="̇"/>
                <m:ctrlPr>
                  <w:rPr>
                    <w:rFonts w:ascii="Cambria Math" w:hAnsi="Cambria Math"/>
                    <w:lang w:val="en-US"/>
                  </w:rPr>
                </m:ctrlPr>
              </m:accPr>
              <m:e>
                <m:r>
                  <w:rPr>
                    <w:rFonts w:ascii="Cambria Math" w:hAnsi="Cambria Math"/>
                    <w:lang w:val="en-US"/>
                  </w:rPr>
                  <m:t>γ</m:t>
                </m:r>
              </m:e>
            </m:acc>
          </m:e>
          <m:sub>
            <m:r>
              <w:rPr>
                <w:rFonts w:ascii="Cambria Math" w:hAnsi="Cambria Math"/>
                <w:lang w:val="en-US"/>
              </w:rPr>
              <m:t>0</m:t>
            </m:r>
          </m:sub>
        </m:sSub>
      </m:oMath>
      <w:r w:rsidRPr="00A93A6F">
        <w:rPr>
          <w:lang w:val="en-US"/>
        </w:rPr>
        <w:t xml:space="preserve">) depends on </w:t>
      </w:r>
      <m:oMath>
        <m:d>
          <m:dPr>
            <m:begChr m:val="|"/>
            <m:endChr m:val="|"/>
            <m:ctrlPr>
              <w:rPr>
                <w:rFonts w:ascii="Cambria Math" w:hAnsi="Cambria Math"/>
                <w:lang w:val="en-US"/>
              </w:rPr>
            </m:ctrlPr>
          </m:dPr>
          <m:e>
            <m:sSubSup>
              <m:sSubSupPr>
                <m:ctrlPr>
                  <w:rPr>
                    <w:rFonts w:ascii="Cambria Math" w:hAnsi="Cambria Math"/>
                    <w:lang w:val="en-US"/>
                  </w:rPr>
                </m:ctrlPr>
              </m:sSubSupPr>
              <m:e>
                <m:r>
                  <w:rPr>
                    <w:rFonts w:ascii="Cambria Math" w:hAnsi="Cambria Math"/>
                    <w:lang w:val="en-US"/>
                  </w:rPr>
                  <m:t>G</m:t>
                </m:r>
              </m:e>
              <m:sub>
                <m:r>
                  <w:rPr>
                    <w:rFonts w:ascii="Cambria Math" w:hAnsi="Cambria Math"/>
                    <w:lang w:val="en-US"/>
                  </w:rPr>
                  <m:t>s</m:t>
                </m:r>
              </m:sub>
              <m:sup>
                <m:r>
                  <w:rPr>
                    <w:rFonts w:ascii="Cambria Math" w:hAnsi="Cambria Math"/>
                    <w:lang w:val="en-US"/>
                  </w:rPr>
                  <m:t>*</m:t>
                </m:r>
              </m:sup>
            </m:sSubSup>
          </m:e>
        </m:d>
      </m:oMath>
      <w:r w:rsidRPr="00A93A6F">
        <w:rPr>
          <w:lang w:val="en-US"/>
        </w:rPr>
        <w:t>, see (</w:t>
      </w:r>
      <w:r w:rsidRPr="00A93A6F">
        <w:rPr>
          <w:b/>
          <w:lang w:val="en-US"/>
        </w:rPr>
        <w:t>Figure 3.b</w:t>
      </w:r>
      <w:r w:rsidRPr="00A93A6F">
        <w:rPr>
          <w:lang w:val="en-US"/>
        </w:rPr>
        <w:t xml:space="preserve">). </w:t>
      </w:r>
      <m:oMath>
        <m:sSub>
          <m:sSubPr>
            <m:ctrlPr>
              <w:rPr>
                <w:rFonts w:ascii="Cambria Math" w:hAnsi="Cambria Math"/>
                <w:lang w:val="en-US"/>
              </w:rPr>
            </m:ctrlPr>
          </m:sSubPr>
          <m:e>
            <m:r>
              <w:rPr>
                <w:rFonts w:ascii="Cambria Math" w:hAnsi="Cambria Math"/>
                <w:lang w:val="en-US"/>
              </w:rPr>
              <m:t>γ</m:t>
            </m:r>
          </m:e>
          <m:sub>
            <m:r>
              <w:rPr>
                <w:rFonts w:ascii="Cambria Math" w:hAnsi="Cambria Math"/>
                <w:lang w:val="en-US"/>
              </w:rPr>
              <m:t>ind</m:t>
            </m:r>
          </m:sub>
        </m:sSub>
      </m:oMath>
      <w:r w:rsidRPr="00A93A6F">
        <w:rPr>
          <w:lang w:val="en-US"/>
        </w:rPr>
        <w:t xml:space="preserve"> and </w:t>
      </w:r>
      <m:oMath>
        <m:sSub>
          <m:sSubPr>
            <m:ctrlPr>
              <w:rPr>
                <w:rFonts w:ascii="Cambria Math" w:hAnsi="Cambria Math"/>
                <w:lang w:val="en-US"/>
              </w:rPr>
            </m:ctrlPr>
          </m:sSubPr>
          <m:e>
            <m:acc>
              <m:accPr>
                <m:chr m:val="̇"/>
                <m:ctrlPr>
                  <w:rPr>
                    <w:rFonts w:ascii="Cambria Math" w:hAnsi="Cambria Math"/>
                    <w:lang w:val="en-US"/>
                  </w:rPr>
                </m:ctrlPr>
              </m:accPr>
              <m:e>
                <m:r>
                  <w:rPr>
                    <w:rFonts w:ascii="Cambria Math" w:hAnsi="Cambria Math"/>
                    <w:lang w:val="en-US"/>
                  </w:rPr>
                  <m:t>γ</m:t>
                </m:r>
              </m:e>
            </m:acc>
          </m:e>
          <m:sub>
            <m:r>
              <w:rPr>
                <w:rFonts w:ascii="Cambria Math" w:hAnsi="Cambria Math"/>
                <w:lang w:val="en-US"/>
              </w:rPr>
              <m:t>0</m:t>
            </m:r>
          </m:sub>
        </m:sSub>
      </m:oMath>
      <w:r w:rsidRPr="00A93A6F">
        <w:rPr>
          <w:lang w:val="en-US"/>
        </w:rPr>
        <w:t xml:space="preserve"> decrease</w:t>
      </w:r>
      <w:r w:rsidRPr="00A93A6F" w:rsidDel="00EE0316">
        <w:rPr>
          <w:lang w:val="en-US"/>
        </w:rPr>
        <w:t xml:space="preserve"> </w:t>
      </w:r>
      <w:r w:rsidRPr="00A93A6F">
        <w:rPr>
          <w:lang w:val="en-US"/>
        </w:rPr>
        <w:t xml:space="preserve">both non-linearly upon increasing </w:t>
      </w:r>
      <m:oMath>
        <m:d>
          <m:dPr>
            <m:begChr m:val="|"/>
            <m:endChr m:val="|"/>
            <m:ctrlPr>
              <w:rPr>
                <w:rFonts w:ascii="Cambria Math" w:hAnsi="Cambria Math"/>
                <w:lang w:val="en-US"/>
              </w:rPr>
            </m:ctrlPr>
          </m:dPr>
          <m:e>
            <m:sSubSup>
              <m:sSubSupPr>
                <m:ctrlPr>
                  <w:rPr>
                    <w:rFonts w:ascii="Cambria Math" w:hAnsi="Cambria Math"/>
                    <w:lang w:val="en-US"/>
                  </w:rPr>
                </m:ctrlPr>
              </m:sSubSupPr>
              <m:e>
                <m:r>
                  <w:rPr>
                    <w:rFonts w:ascii="Cambria Math" w:hAnsi="Cambria Math"/>
                    <w:lang w:val="en-US"/>
                  </w:rPr>
                  <m:t>G</m:t>
                </m:r>
              </m:e>
              <m:sub>
                <m:r>
                  <w:rPr>
                    <w:rFonts w:ascii="Cambria Math" w:hAnsi="Cambria Math"/>
                    <w:lang w:val="en-US"/>
                  </w:rPr>
                  <m:t>s</m:t>
                </m:r>
              </m:sub>
              <m:sup>
                <m:r>
                  <w:rPr>
                    <w:rFonts w:ascii="Cambria Math" w:hAnsi="Cambria Math"/>
                    <w:lang w:val="en-US"/>
                  </w:rPr>
                  <m:t>*</m:t>
                </m:r>
              </m:sup>
            </m:sSubSup>
          </m:e>
        </m:d>
      </m:oMath>
      <w:r w:rsidRPr="00A93A6F">
        <w:rPr>
          <w:lang w:val="en-US"/>
        </w:rPr>
        <w:t xml:space="preserve"> (</w:t>
      </w:r>
      <w:r w:rsidRPr="00A93A6F">
        <w:rPr>
          <w:b/>
          <w:lang w:val="en-US"/>
        </w:rPr>
        <w:t>Figure 3.c</w:t>
      </w:r>
      <w:r w:rsidRPr="00A93A6F">
        <w:rPr>
          <w:lang w:val="en-US"/>
        </w:rPr>
        <w:t xml:space="preserve">). </w:t>
      </w:r>
      <w:r w:rsidR="005108FA" w:rsidRPr="00A93A6F">
        <w:rPr>
          <w:lang w:val="en-US"/>
        </w:rPr>
        <w:t>Slight variations in</w:t>
      </w:r>
      <w:r w:rsidR="005108FA" w:rsidRPr="00A93A6F">
        <w:rPr>
          <w:rFonts w:eastAsiaTheme="minorEastAsia"/>
          <w:lang w:val="en-US"/>
        </w:rPr>
        <w:t xml:space="preserve"> </w:t>
      </w:r>
      <m:oMath>
        <m:d>
          <m:dPr>
            <m:begChr m:val="|"/>
            <m:endChr m:val="|"/>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G</m:t>
                </m:r>
              </m:e>
              <m:sub>
                <m:r>
                  <w:rPr>
                    <w:rFonts w:ascii="Cambria Math" w:hAnsi="Cambria Math"/>
                    <w:lang w:val="en-US"/>
                  </w:rPr>
                  <m:t>s</m:t>
                </m:r>
              </m:sub>
              <m:sup>
                <m:r>
                  <w:rPr>
                    <w:rFonts w:ascii="Cambria Math" w:hAnsi="Cambria Math"/>
                    <w:lang w:val="en-US"/>
                  </w:rPr>
                  <m:t>*</m:t>
                </m:r>
              </m:sup>
            </m:sSubSup>
          </m:e>
        </m:d>
      </m:oMath>
      <w:r w:rsidR="005108FA" w:rsidRPr="00A93A6F">
        <w:rPr>
          <w:lang w:val="en-US"/>
        </w:rPr>
        <w:t xml:space="preserve"> prevent the exact reproducibility of the resulting strain, </w:t>
      </w:r>
      <m:oMath>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ind</m:t>
            </m:r>
          </m:sub>
        </m:sSub>
      </m:oMath>
      <w:r w:rsidR="005108FA" w:rsidRPr="00A93A6F">
        <w:rPr>
          <w:lang w:val="en-US"/>
        </w:rPr>
        <w:t xml:space="preserve">, </w:t>
      </w:r>
      <w:r w:rsidR="00E95963" w:rsidRPr="00A93A6F">
        <w:rPr>
          <w:lang w:val="en-US"/>
        </w:rPr>
        <w:t>as</w:t>
      </w:r>
      <w:r w:rsidR="005108FA" w:rsidRPr="00A93A6F">
        <w:rPr>
          <w:lang w:val="en-US"/>
        </w:rPr>
        <w:t xml:space="preserve"> </w:t>
      </w:r>
      <m:oMath>
        <m:d>
          <m:dPr>
            <m:begChr m:val="|"/>
            <m:endChr m:val="|"/>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G</m:t>
                </m:r>
              </m:e>
              <m:sub>
                <m:r>
                  <w:rPr>
                    <w:rFonts w:ascii="Cambria Math" w:hAnsi="Cambria Math"/>
                    <w:lang w:val="en-US"/>
                  </w:rPr>
                  <m:t>s</m:t>
                </m:r>
              </m:sub>
              <m:sup>
                <m:r>
                  <w:rPr>
                    <w:rFonts w:ascii="Cambria Math" w:hAnsi="Cambria Math"/>
                    <w:lang w:val="en-US"/>
                  </w:rPr>
                  <m:t>*</m:t>
                </m:r>
              </m:sup>
            </m:sSubSup>
          </m:e>
        </m:d>
      </m:oMath>
      <w:r w:rsidR="005108FA" w:rsidRPr="00A93A6F">
        <w:rPr>
          <w:lang w:val="en-US"/>
        </w:rPr>
        <w:t xml:space="preserve"> </w:t>
      </w:r>
      <w:r w:rsidR="00E95963" w:rsidRPr="00A93A6F">
        <w:rPr>
          <w:lang w:val="en-US"/>
        </w:rPr>
        <w:t xml:space="preserve">is </w:t>
      </w:r>
      <w:r w:rsidR="005108FA" w:rsidRPr="00A93A6F">
        <w:rPr>
          <w:lang w:val="en-US"/>
        </w:rPr>
        <w:t xml:space="preserve">close to the torque limit and </w:t>
      </w:r>
      <m:oMath>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ind</m:t>
            </m:r>
          </m:sub>
        </m:sSub>
      </m:oMath>
      <w:r w:rsidR="005108FA" w:rsidRPr="00A93A6F">
        <w:rPr>
          <w:rFonts w:eastAsiaTheme="minorEastAsia"/>
          <w:lang w:val="en-US"/>
        </w:rPr>
        <w:t xml:space="preserve"> </w:t>
      </w:r>
      <w:r w:rsidR="00E95963" w:rsidRPr="00A93A6F">
        <w:rPr>
          <w:lang w:val="en-US"/>
        </w:rPr>
        <w:t xml:space="preserve">strongly depends </w:t>
      </w:r>
      <w:r w:rsidR="005108FA" w:rsidRPr="00A93A6F">
        <w:rPr>
          <w:lang w:val="en-US"/>
        </w:rPr>
        <w:t xml:space="preserve">on </w:t>
      </w:r>
      <m:oMath>
        <m:d>
          <m:dPr>
            <m:begChr m:val="|"/>
            <m:endChr m:val="|"/>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G</m:t>
                </m:r>
              </m:e>
              <m:sub>
                <m:r>
                  <w:rPr>
                    <w:rFonts w:ascii="Cambria Math" w:hAnsi="Cambria Math"/>
                    <w:lang w:val="en-US"/>
                  </w:rPr>
                  <m:t>s</m:t>
                </m:r>
              </m:sub>
              <m:sup>
                <m:r>
                  <w:rPr>
                    <w:rFonts w:ascii="Cambria Math" w:hAnsi="Cambria Math"/>
                    <w:lang w:val="en-US"/>
                  </w:rPr>
                  <m:t>*</m:t>
                </m:r>
              </m:sup>
            </m:sSubSup>
          </m:e>
        </m:d>
      </m:oMath>
      <w:r w:rsidR="005108FA" w:rsidRPr="00A93A6F">
        <w:rPr>
          <w:lang w:val="en-US"/>
        </w:rPr>
        <w:t xml:space="preserve">. However, the observed relationship between </w:t>
      </w:r>
      <m:oMath>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ind</m:t>
            </m:r>
          </m:sub>
        </m:sSub>
      </m:oMath>
      <w:r w:rsidR="005108FA" w:rsidRPr="00A93A6F">
        <w:rPr>
          <w:rFonts w:eastAsiaTheme="minorEastAsia"/>
          <w:lang w:val="en-US"/>
        </w:rPr>
        <w:t xml:space="preserve"> </w:t>
      </w:r>
      <w:r w:rsidR="005108FA" w:rsidRPr="00A93A6F">
        <w:rPr>
          <w:lang w:val="en-US"/>
        </w:rPr>
        <w:t xml:space="preserve">and </w:t>
      </w:r>
      <m:oMath>
        <m:d>
          <m:dPr>
            <m:begChr m:val="|"/>
            <m:endChr m:val="|"/>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G</m:t>
                </m:r>
              </m:e>
              <m:sub>
                <m:r>
                  <w:rPr>
                    <w:rFonts w:ascii="Cambria Math" w:hAnsi="Cambria Math"/>
                    <w:lang w:val="en-US"/>
                  </w:rPr>
                  <m:t>s</m:t>
                </m:r>
              </m:sub>
              <m:sup>
                <m:r>
                  <w:rPr>
                    <w:rFonts w:ascii="Cambria Math" w:hAnsi="Cambria Math"/>
                    <w:lang w:val="en-US"/>
                  </w:rPr>
                  <m:t>*</m:t>
                </m:r>
              </m:sup>
            </m:sSubSup>
          </m:e>
        </m:d>
      </m:oMath>
      <w:r w:rsidR="005108FA" w:rsidRPr="00A93A6F">
        <w:rPr>
          <w:lang w:val="en-US"/>
        </w:rPr>
        <w:t xml:space="preserve"> is significantly less variable than the relationship between </w:t>
      </w:r>
      <m:oMath>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ind</m:t>
            </m:r>
          </m:sub>
        </m:sSub>
      </m:oMath>
      <w:r w:rsidR="005108FA" w:rsidRPr="00A93A6F">
        <w:rPr>
          <w:rFonts w:eastAsiaTheme="minorEastAsia"/>
          <w:lang w:val="en-US"/>
        </w:rPr>
        <w:t xml:space="preserve"> and </w:t>
      </w:r>
      <m:oMath>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g</m:t>
            </m:r>
          </m:sub>
        </m:sSub>
      </m:oMath>
      <w:r w:rsidR="005108FA" w:rsidRPr="00A93A6F">
        <w:rPr>
          <w:lang w:val="en-US"/>
        </w:rPr>
        <w:t xml:space="preserve">, as can be appreciated when comparing </w:t>
      </w:r>
      <w:r w:rsidR="005108FA" w:rsidRPr="00A93A6F">
        <w:rPr>
          <w:b/>
          <w:bCs/>
          <w:lang w:val="en-US"/>
        </w:rPr>
        <w:t>Figure 3.c</w:t>
      </w:r>
      <w:r w:rsidR="005108FA" w:rsidRPr="00A93A6F">
        <w:rPr>
          <w:lang w:val="en-US"/>
        </w:rPr>
        <w:t xml:space="preserve"> and </w:t>
      </w:r>
      <w:r w:rsidR="005108FA" w:rsidRPr="00A93A6F">
        <w:rPr>
          <w:b/>
          <w:bCs/>
          <w:lang w:val="en-US"/>
        </w:rPr>
        <w:t>Figure 3.d</w:t>
      </w:r>
      <w:r w:rsidR="005108FA" w:rsidRPr="00A93A6F">
        <w:rPr>
          <w:lang w:val="en-US"/>
        </w:rPr>
        <w:t xml:space="preserve">. </w:t>
      </w:r>
      <w:r w:rsidRPr="00A93A6F">
        <w:rPr>
          <w:lang w:val="en-US"/>
        </w:rPr>
        <w:t>This highlights the fact that knowledge of the initial material stiffness is paramount for a reproducible stress-controlled alignment.</w:t>
      </w:r>
    </w:p>
    <w:p w14:paraId="7AE5EF48" w14:textId="5BEE97E7" w:rsidR="00437BE5" w:rsidRPr="00A93A6F" w:rsidRDefault="006B0A70" w:rsidP="00437BE5">
      <w:pPr>
        <w:spacing w:line="360" w:lineRule="auto"/>
        <w:jc w:val="center"/>
        <w:rPr>
          <w:lang w:val="en-US"/>
        </w:rPr>
      </w:pPr>
      <w:r w:rsidRPr="00A93A6F">
        <w:rPr>
          <w:noProof/>
          <w:lang w:val="nl-BE"/>
        </w:rPr>
        <w:drawing>
          <wp:inline distT="0" distB="0" distL="0" distR="0" wp14:anchorId="6B466197" wp14:editId="061AD48C">
            <wp:extent cx="2880000" cy="4125562"/>
            <wp:effectExtent l="0" t="0" r="0" b="8890"/>
            <wp:docPr id="10" name="Picture 10" descr="G:\Mijn Drive\PHDdrive\RheoPaper2021\Figures\Finished\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ijn Drive\PHDdrive\RheoPaper2021\Figures\Finished\Fig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4125562"/>
                    </a:xfrm>
                    <a:prstGeom prst="rect">
                      <a:avLst/>
                    </a:prstGeom>
                    <a:noFill/>
                    <a:ln>
                      <a:noFill/>
                    </a:ln>
                  </pic:spPr>
                </pic:pic>
              </a:graphicData>
            </a:graphic>
          </wp:inline>
        </w:drawing>
      </w:r>
    </w:p>
    <w:p w14:paraId="6219883A" w14:textId="10D3E707" w:rsidR="00437BE5" w:rsidRPr="00A93A6F" w:rsidRDefault="00437BE5" w:rsidP="00FD4372">
      <w:pPr>
        <w:pStyle w:val="Head1"/>
      </w:pPr>
      <w:r w:rsidRPr="00A93A6F">
        <w:lastRenderedPageBreak/>
        <w:t xml:space="preserve">Figure 2. Experimental data on the time sweep behavior of collagen type I. </w:t>
      </w:r>
      <w:r w:rsidRPr="00A93A6F">
        <w:rPr>
          <w:b w:val="0"/>
          <w:bCs/>
        </w:rPr>
        <w:t xml:space="preserve">(a) Representation of the loss </w:t>
      </w:r>
      <m:oMath>
        <m:r>
          <m:rPr>
            <m:sty m:val="bi"/>
          </m:rPr>
          <w:rPr>
            <w:rFonts w:ascii="Cambria Math" w:hAnsi="Cambria Math"/>
            <w:lang w:val="de-DE"/>
          </w:rPr>
          <m:t>G</m:t>
        </m:r>
        <m:r>
          <m:rPr>
            <m:sty m:val="bi"/>
          </m:rPr>
          <w:rPr>
            <w:rFonts w:ascii="Cambria Math" w:hAnsi="Cambria Math"/>
          </w:rPr>
          <m:t>''</m:t>
        </m:r>
      </m:oMath>
      <w:r w:rsidRPr="00A93A6F">
        <w:rPr>
          <w:b w:val="0"/>
          <w:bCs/>
        </w:rPr>
        <w:t xml:space="preserve"> and storage </w:t>
      </w:r>
      <m:oMath>
        <m:r>
          <m:rPr>
            <m:sty m:val="bi"/>
          </m:rPr>
          <w:rPr>
            <w:rFonts w:ascii="Cambria Math" w:hAnsi="Cambria Math"/>
            <w:lang w:val="de-DE"/>
          </w:rPr>
          <m:t>G</m:t>
        </m:r>
        <m:r>
          <m:rPr>
            <m:sty m:val="bi"/>
          </m:rPr>
          <w:rPr>
            <w:rFonts w:ascii="Cambria Math" w:hAnsi="Cambria Math"/>
          </w:rPr>
          <m:t>'</m:t>
        </m:r>
      </m:oMath>
      <w:r w:rsidRPr="00A93A6F">
        <w:rPr>
          <w:b w:val="0"/>
          <w:bCs/>
        </w:rPr>
        <w:t xml:space="preserve"> moduli in time for collagen type I gelation at 27 </w:t>
      </w:r>
      <w:r w:rsidRPr="00A93A6F">
        <w:rPr>
          <w:b w:val="0"/>
          <w:bCs/>
          <w:vertAlign w:val="superscript"/>
        </w:rPr>
        <w:t>◦</w:t>
      </w:r>
      <w:r w:rsidRPr="00A93A6F">
        <w:rPr>
          <w:b w:val="0"/>
          <w:bCs/>
        </w:rPr>
        <w:t>C, the cross-over (</w:t>
      </w:r>
      <m:oMath>
        <m:sSup>
          <m:sSupPr>
            <m:ctrlPr>
              <w:rPr>
                <w:rFonts w:ascii="Cambria Math" w:hAnsi="Cambria Math"/>
                <w:b w:val="0"/>
                <w:bCs/>
                <w:i/>
                <w:lang w:val="de-DE"/>
              </w:rPr>
            </m:ctrlPr>
          </m:sSupPr>
          <m:e>
            <m:r>
              <m:rPr>
                <m:sty m:val="bi"/>
              </m:rPr>
              <w:rPr>
                <w:rFonts w:ascii="Cambria Math" w:hAnsi="Cambria Math"/>
                <w:lang w:val="de-DE"/>
              </w:rPr>
              <m:t>G</m:t>
            </m:r>
          </m:e>
          <m:sup>
            <m:r>
              <m:rPr>
                <m:sty m:val="bi"/>
              </m:rPr>
              <w:rPr>
                <w:rFonts w:ascii="Cambria Math" w:hAnsi="Cambria Math"/>
              </w:rPr>
              <m:t>'</m:t>
            </m:r>
          </m:sup>
        </m:sSup>
        <m:r>
          <m:rPr>
            <m:sty m:val="bi"/>
          </m:rPr>
          <w:rPr>
            <w:rFonts w:ascii="Cambria Math" w:hAnsi="Cambria Math"/>
          </w:rPr>
          <m:t>=</m:t>
        </m:r>
        <m:r>
          <m:rPr>
            <m:sty m:val="bi"/>
          </m:rPr>
          <w:rPr>
            <w:rFonts w:ascii="Cambria Math" w:hAnsi="Cambria Math"/>
            <w:lang w:val="de-DE"/>
          </w:rPr>
          <m:t>G</m:t>
        </m:r>
        <m:r>
          <m:rPr>
            <m:sty m:val="bi"/>
          </m:rPr>
          <w:rPr>
            <w:rFonts w:ascii="Cambria Math" w:hAnsi="Cambria Math"/>
          </w:rPr>
          <m:t>''</m:t>
        </m:r>
      </m:oMath>
      <w:r w:rsidRPr="00A93A6F">
        <w:rPr>
          <w:b w:val="0"/>
          <w:bCs/>
        </w:rPr>
        <w:t xml:space="preserve">) is indicated with a green square. (b) Evolution of the complex moduli </w:t>
      </w:r>
      <m:oMath>
        <m:d>
          <m:dPr>
            <m:begChr m:val="|"/>
            <m:endChr m:val="|"/>
            <m:ctrlPr>
              <w:rPr>
                <w:rFonts w:ascii="Cambria Math" w:hAnsi="Cambria Math"/>
                <w:b w:val="0"/>
                <w:bCs/>
                <w:i/>
                <w:lang w:val="de-DE"/>
              </w:rPr>
            </m:ctrlPr>
          </m:dPr>
          <m:e>
            <m:sSup>
              <m:sSupPr>
                <m:ctrlPr>
                  <w:rPr>
                    <w:rFonts w:ascii="Cambria Math" w:hAnsi="Cambria Math"/>
                    <w:b w:val="0"/>
                    <w:bCs/>
                    <w:i/>
                    <w:lang w:val="de-DE"/>
                  </w:rPr>
                </m:ctrlPr>
              </m:sSupPr>
              <m:e>
                <m:r>
                  <m:rPr>
                    <m:sty m:val="bi"/>
                  </m:rPr>
                  <w:rPr>
                    <w:rFonts w:ascii="Cambria Math" w:hAnsi="Cambria Math"/>
                    <w:lang w:val="de-DE"/>
                  </w:rPr>
                  <m:t>G</m:t>
                </m:r>
              </m:e>
              <m:sup>
                <m:r>
                  <m:rPr>
                    <m:sty m:val="bi"/>
                  </m:rPr>
                  <w:rPr>
                    <w:rFonts w:ascii="Cambria Math" w:hAnsi="Cambria Math"/>
                  </w:rPr>
                  <m:t>*</m:t>
                </m:r>
              </m:sup>
            </m:sSup>
          </m:e>
        </m:d>
      </m:oMath>
      <w:r w:rsidRPr="00A93A6F">
        <w:rPr>
          <w:b w:val="0"/>
          <w:bCs/>
        </w:rPr>
        <w:t xml:space="preserve"> in time for eleven samples exposed to 27 </w:t>
      </w:r>
      <w:r w:rsidRPr="00A93A6F">
        <w:rPr>
          <w:b w:val="0"/>
          <w:bCs/>
          <w:vertAlign w:val="superscript"/>
        </w:rPr>
        <w:t>◦</w:t>
      </w:r>
      <w:r w:rsidRPr="00A93A6F">
        <w:rPr>
          <w:b w:val="0"/>
          <w:bCs/>
        </w:rPr>
        <w:t>C.</w:t>
      </w:r>
    </w:p>
    <w:p w14:paraId="58BAE057" w14:textId="77777777" w:rsidR="00461D7B" w:rsidRPr="00A93A6F" w:rsidRDefault="00461D7B" w:rsidP="00FD4372">
      <w:pPr>
        <w:pStyle w:val="Head1"/>
      </w:pPr>
    </w:p>
    <w:p w14:paraId="088C08A4" w14:textId="5B5E9418" w:rsidR="00437BE5" w:rsidRPr="00A93A6F" w:rsidRDefault="006B0A70" w:rsidP="00437BE5">
      <w:pPr>
        <w:spacing w:line="360" w:lineRule="auto"/>
        <w:jc w:val="center"/>
      </w:pPr>
      <w:r w:rsidRPr="00A93A6F">
        <w:rPr>
          <w:noProof/>
          <w:lang w:val="nl-BE"/>
        </w:rPr>
        <w:drawing>
          <wp:inline distT="0" distB="0" distL="0" distR="0" wp14:anchorId="56643C67" wp14:editId="007A013B">
            <wp:extent cx="5760720" cy="3507740"/>
            <wp:effectExtent l="0" t="0" r="0" b="0"/>
            <wp:docPr id="11" name="Picture 11" descr="G:\Mijn Drive\PHDdrive\RheoPaper2021\Figures\Finished\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Mijn Drive\PHDdrive\RheoPaper2021\Figures\Finished\Fig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507740"/>
                    </a:xfrm>
                    <a:prstGeom prst="rect">
                      <a:avLst/>
                    </a:prstGeom>
                    <a:noFill/>
                    <a:ln>
                      <a:noFill/>
                    </a:ln>
                  </pic:spPr>
                </pic:pic>
              </a:graphicData>
            </a:graphic>
          </wp:inline>
        </w:drawing>
      </w:r>
    </w:p>
    <w:p w14:paraId="7F3440CF" w14:textId="03CD7EFA" w:rsidR="00437BE5" w:rsidRPr="00A93A6F" w:rsidRDefault="00437BE5" w:rsidP="00FD4372">
      <w:pPr>
        <w:pStyle w:val="Head1"/>
        <w:rPr>
          <w:lang w:val="de-DE"/>
        </w:rPr>
      </w:pPr>
      <w:r w:rsidRPr="00A93A6F">
        <w:t>Figure 3. Relation between the macroscopic rheological properties and the initiation point (</w:t>
      </w:r>
      <m:oMath>
        <m:d>
          <m:dPr>
            <m:begChr m:val="|"/>
            <m:endChr m:val="|"/>
            <m:ctrlPr>
              <w:rPr>
                <w:rFonts w:ascii="Cambria Math" w:hAnsi="Cambria Math"/>
                <w:i/>
                <w:lang w:val="de-DE"/>
              </w:rPr>
            </m:ctrlPr>
          </m:dPr>
          <m:e>
            <m:sSubSup>
              <m:sSubSupPr>
                <m:ctrlPr>
                  <w:rPr>
                    <w:rFonts w:ascii="Cambria Math" w:hAnsi="Cambria Math"/>
                    <w:i/>
                    <w:lang w:val="de-DE"/>
                  </w:rPr>
                </m:ctrlPr>
              </m:sSubSupPr>
              <m:e>
                <m:r>
                  <m:rPr>
                    <m:sty m:val="bi"/>
                  </m:rPr>
                  <w:rPr>
                    <w:rFonts w:ascii="Cambria Math" w:hAnsi="Cambria Math"/>
                    <w:lang w:val="de-DE"/>
                  </w:rPr>
                  <m:t>G</m:t>
                </m:r>
              </m:e>
              <m:sub>
                <m:r>
                  <m:rPr>
                    <m:sty m:val="bi"/>
                  </m:rPr>
                  <w:rPr>
                    <w:rFonts w:ascii="Cambria Math" w:hAnsi="Cambria Math"/>
                    <w:lang w:val="de-DE"/>
                  </w:rPr>
                  <m:t>s</m:t>
                </m:r>
              </m:sub>
              <m:sup>
                <m:r>
                  <m:rPr>
                    <m:sty m:val="bi"/>
                  </m:rPr>
                  <w:rPr>
                    <w:rFonts w:ascii="Cambria Math" w:hAnsi="Cambria Math"/>
                  </w:rPr>
                  <m:t>*</m:t>
                </m:r>
              </m:sup>
            </m:sSubSup>
          </m:e>
        </m:d>
      </m:oMath>
      <w:r w:rsidRPr="00A93A6F">
        <w:t xml:space="preserve">). </w:t>
      </w:r>
      <w:r w:rsidRPr="00A93A6F">
        <w:rPr>
          <w:b w:val="0"/>
          <w:bCs/>
        </w:rPr>
        <w:t xml:space="preserve">(a) Strain profiles for various </w:t>
      </w:r>
      <m:oMath>
        <m:d>
          <m:dPr>
            <m:begChr m:val="|"/>
            <m:endChr m:val="|"/>
            <m:ctrlPr>
              <w:rPr>
                <w:rFonts w:ascii="Cambria Math" w:hAnsi="Cambria Math"/>
                <w:b w:val="0"/>
                <w:bCs/>
                <w:lang w:val="de-DE"/>
              </w:rPr>
            </m:ctrlPr>
          </m:dPr>
          <m:e>
            <m:sSubSup>
              <m:sSubSupPr>
                <m:ctrlPr>
                  <w:rPr>
                    <w:rFonts w:ascii="Cambria Math" w:hAnsi="Cambria Math"/>
                    <w:b w:val="0"/>
                    <w:bCs/>
                    <w:lang w:val="de-DE"/>
                  </w:rPr>
                </m:ctrlPr>
              </m:sSubSupPr>
              <m:e>
                <m:r>
                  <m:rPr>
                    <m:sty m:val="bi"/>
                  </m:rPr>
                  <w:rPr>
                    <w:rFonts w:ascii="Cambria Math" w:hAnsi="Cambria Math"/>
                    <w:lang w:val="de-DE"/>
                  </w:rPr>
                  <m:t>G</m:t>
                </m:r>
              </m:e>
              <m:sub>
                <m:r>
                  <m:rPr>
                    <m:sty m:val="bi"/>
                  </m:rPr>
                  <w:rPr>
                    <w:rFonts w:ascii="Cambria Math" w:hAnsi="Cambria Math"/>
                    <w:lang w:val="de-DE"/>
                  </w:rPr>
                  <m:t>s</m:t>
                </m:r>
              </m:sub>
              <m:sup>
                <m:r>
                  <m:rPr>
                    <m:sty m:val="bi"/>
                  </m:rPr>
                  <w:rPr>
                    <w:rFonts w:ascii="Cambria Math" w:hAnsi="Cambria Math"/>
                  </w:rPr>
                  <m:t>*</m:t>
                </m:r>
              </m:sup>
            </m:sSubSup>
          </m:e>
        </m:d>
      </m:oMath>
      <w:r w:rsidRPr="00A93A6F">
        <w:rPr>
          <w:b w:val="0"/>
          <w:bCs/>
        </w:rPr>
        <w:t>, dashed line and shaded area visualize the presence or absence of a non-zero applied stress (</w:t>
      </w:r>
      <m:oMath>
        <m:sSub>
          <m:sSubPr>
            <m:ctrlPr>
              <w:rPr>
                <w:rFonts w:ascii="Cambria Math" w:hAnsi="Cambria Math"/>
                <w:b w:val="0"/>
                <w:bCs/>
                <w:i/>
                <w:lang w:val="de-DE"/>
              </w:rPr>
            </m:ctrlPr>
          </m:sSubPr>
          <m:e>
            <m:r>
              <m:rPr>
                <m:sty m:val="bi"/>
              </m:rPr>
              <w:rPr>
                <w:rFonts w:ascii="Cambria Math" w:hAnsi="Cambria Math"/>
                <w:lang w:val="de-DE"/>
              </w:rPr>
              <m:t>σ</m:t>
            </m:r>
          </m:e>
          <m:sub>
            <m:r>
              <m:rPr>
                <m:sty m:val="bi"/>
              </m:rPr>
              <w:rPr>
                <w:rFonts w:ascii="Cambria Math" w:hAnsi="Cambria Math"/>
                <w:lang w:val="de-DE"/>
              </w:rPr>
              <m:t>app</m:t>
            </m:r>
          </m:sub>
        </m:sSub>
      </m:oMath>
      <w:r w:rsidRPr="00A93A6F">
        <w:rPr>
          <w:b w:val="0"/>
          <w:bCs/>
        </w:rPr>
        <w:t xml:space="preserve">). (b) Strain rate behavior over time, after stress has been applied, for different values of </w:t>
      </w:r>
      <m:oMath>
        <m:d>
          <m:dPr>
            <m:begChr m:val="|"/>
            <m:endChr m:val="|"/>
            <m:ctrlPr>
              <w:rPr>
                <w:rFonts w:ascii="Cambria Math" w:hAnsi="Cambria Math"/>
                <w:b w:val="0"/>
                <w:bCs/>
                <w:lang w:val="de-DE"/>
              </w:rPr>
            </m:ctrlPr>
          </m:dPr>
          <m:e>
            <m:sSubSup>
              <m:sSubSupPr>
                <m:ctrlPr>
                  <w:rPr>
                    <w:rFonts w:ascii="Cambria Math" w:hAnsi="Cambria Math"/>
                    <w:b w:val="0"/>
                    <w:bCs/>
                    <w:lang w:val="de-DE"/>
                  </w:rPr>
                </m:ctrlPr>
              </m:sSubSupPr>
              <m:e>
                <m:r>
                  <m:rPr>
                    <m:sty m:val="bi"/>
                  </m:rPr>
                  <w:rPr>
                    <w:rFonts w:ascii="Cambria Math" w:hAnsi="Cambria Math"/>
                    <w:lang w:val="de-DE"/>
                  </w:rPr>
                  <m:t>G</m:t>
                </m:r>
              </m:e>
              <m:sub>
                <m:r>
                  <m:rPr>
                    <m:sty m:val="bi"/>
                  </m:rPr>
                  <w:rPr>
                    <w:rFonts w:ascii="Cambria Math" w:hAnsi="Cambria Math"/>
                    <w:lang w:val="de-DE"/>
                  </w:rPr>
                  <m:t>s</m:t>
                </m:r>
              </m:sub>
              <m:sup>
                <m:r>
                  <m:rPr>
                    <m:sty m:val="bi"/>
                  </m:rPr>
                  <w:rPr>
                    <w:rFonts w:ascii="Cambria Math" w:hAnsi="Cambria Math"/>
                  </w:rPr>
                  <m:t>*</m:t>
                </m:r>
              </m:sup>
            </m:sSubSup>
          </m:e>
        </m:d>
      </m:oMath>
      <w:r w:rsidRPr="00A93A6F">
        <w:rPr>
          <w:b w:val="0"/>
          <w:bCs/>
        </w:rPr>
        <w:t>. Legend from (b) also applies to (a). Comparison between (c) stiffness- or (d) time-controlled stress initiation, for the induced strain (</w:t>
      </w:r>
      <m:oMath>
        <m:sSub>
          <m:sSubPr>
            <m:ctrlPr>
              <w:rPr>
                <w:rFonts w:ascii="Cambria Math" w:hAnsi="Cambria Math"/>
                <w:b w:val="0"/>
                <w:bCs/>
                <w:lang w:val="de-DE"/>
              </w:rPr>
            </m:ctrlPr>
          </m:sSubPr>
          <m:e>
            <m:r>
              <m:rPr>
                <m:sty m:val="bi"/>
              </m:rPr>
              <w:rPr>
                <w:rFonts w:ascii="Cambria Math" w:hAnsi="Cambria Math"/>
                <w:lang w:val="de-DE"/>
              </w:rPr>
              <m:t>γ</m:t>
            </m:r>
          </m:e>
          <m:sub>
            <m:r>
              <m:rPr>
                <m:sty m:val="bi"/>
              </m:rPr>
              <w:rPr>
                <w:rFonts w:ascii="Cambria Math" w:hAnsi="Cambria Math"/>
                <w:lang w:val="de-DE"/>
              </w:rPr>
              <m:t>ind</m:t>
            </m:r>
          </m:sub>
        </m:sSub>
      </m:oMath>
      <w:r w:rsidRPr="00A93A6F">
        <w:rPr>
          <w:b w:val="0"/>
          <w:bCs/>
        </w:rPr>
        <w:t>) and the initial shear-magnitude (</w:t>
      </w:r>
      <m:oMath>
        <m:sSub>
          <m:sSubPr>
            <m:ctrlPr>
              <w:rPr>
                <w:rFonts w:ascii="Cambria Math" w:hAnsi="Cambria Math"/>
                <w:b w:val="0"/>
                <w:bCs/>
                <w:lang w:val="de-DE"/>
              </w:rPr>
            </m:ctrlPr>
          </m:sSubPr>
          <m:e>
            <m:acc>
              <m:accPr>
                <m:chr m:val="̇"/>
                <m:ctrlPr>
                  <w:rPr>
                    <w:rFonts w:ascii="Cambria Math" w:hAnsi="Cambria Math"/>
                    <w:b w:val="0"/>
                    <w:bCs/>
                    <w:lang w:val="de-DE"/>
                  </w:rPr>
                </m:ctrlPr>
              </m:accPr>
              <m:e>
                <m:r>
                  <m:rPr>
                    <m:sty m:val="bi"/>
                  </m:rPr>
                  <w:rPr>
                    <w:rFonts w:ascii="Cambria Math" w:hAnsi="Cambria Math"/>
                    <w:lang w:val="de-DE"/>
                  </w:rPr>
                  <m:t>γ</m:t>
                </m:r>
              </m:e>
            </m:acc>
          </m:e>
          <m:sub>
            <m:r>
              <m:rPr>
                <m:sty m:val="bi"/>
              </m:rPr>
              <w:rPr>
                <w:rFonts w:ascii="Cambria Math" w:hAnsi="Cambria Math"/>
                <w:lang w:val="de-DE"/>
              </w:rPr>
              <m:t>0</m:t>
            </m:r>
          </m:sub>
        </m:sSub>
      </m:oMath>
      <w:r w:rsidRPr="00A93A6F">
        <w:rPr>
          <w:b w:val="0"/>
          <w:bCs/>
        </w:rPr>
        <w:t xml:space="preserve">). In (c) and (d), error bars representing the standard error are smaller than the symbol size for (c) and (d). Solid lines in (c) and (d) are added to guide the eye. The applied rotational stress for all these samples was 1.5 Pa. </w:t>
      </w:r>
      <w:r w:rsidRPr="00A93A6F">
        <w:rPr>
          <w:b w:val="0"/>
          <w:bCs/>
          <w:lang w:val="de-DE"/>
        </w:rPr>
        <w:t xml:space="preserve">All samples were prepared at a temperature of 27 </w:t>
      </w:r>
      <w:r w:rsidRPr="00A93A6F">
        <w:rPr>
          <w:b w:val="0"/>
          <w:bCs/>
          <w:vertAlign w:val="superscript"/>
          <w:lang w:val="de-DE"/>
        </w:rPr>
        <w:t>◦</w:t>
      </w:r>
      <w:r w:rsidRPr="00A93A6F">
        <w:rPr>
          <w:b w:val="0"/>
          <w:bCs/>
          <w:lang w:val="de-DE"/>
        </w:rPr>
        <w:t>C.</w:t>
      </w:r>
    </w:p>
    <w:p w14:paraId="37D3E68D" w14:textId="77777777" w:rsidR="00461D7B" w:rsidRPr="00A93A6F" w:rsidRDefault="00461D7B" w:rsidP="00FD4372">
      <w:pPr>
        <w:pStyle w:val="Head1"/>
      </w:pPr>
    </w:p>
    <w:p w14:paraId="12A73F1C" w14:textId="3C16B8E6" w:rsidR="00437BE5" w:rsidRPr="00A93A6F" w:rsidRDefault="006B0A70" w:rsidP="00437BE5">
      <w:pPr>
        <w:spacing w:line="360" w:lineRule="auto"/>
        <w:jc w:val="center"/>
        <w:rPr>
          <w:lang w:val="en-US"/>
        </w:rPr>
      </w:pPr>
      <w:r w:rsidRPr="00A93A6F">
        <w:rPr>
          <w:noProof/>
          <w:lang w:val="nl-BE"/>
        </w:rPr>
        <w:lastRenderedPageBreak/>
        <w:drawing>
          <wp:inline distT="0" distB="0" distL="0" distR="0" wp14:anchorId="4EC02160" wp14:editId="4DC3B8AC">
            <wp:extent cx="5760720" cy="1804670"/>
            <wp:effectExtent l="0" t="0" r="0" b="5080"/>
            <wp:docPr id="13" name="Picture 13" descr="G:\Mijn Drive\PHDdrive\RheoPaper2021\Figures\Finished\Fi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Mijn Drive\PHDdrive\RheoPaper2021\Figures\Finished\Fig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804670"/>
                    </a:xfrm>
                    <a:prstGeom prst="rect">
                      <a:avLst/>
                    </a:prstGeom>
                    <a:noFill/>
                    <a:ln>
                      <a:noFill/>
                    </a:ln>
                  </pic:spPr>
                </pic:pic>
              </a:graphicData>
            </a:graphic>
          </wp:inline>
        </w:drawing>
      </w:r>
    </w:p>
    <w:p w14:paraId="352CDD07" w14:textId="226A91AF" w:rsidR="00437BE5" w:rsidRPr="00A93A6F" w:rsidRDefault="00437BE5" w:rsidP="00FD4372">
      <w:pPr>
        <w:pStyle w:val="Head1"/>
      </w:pPr>
      <w:r w:rsidRPr="00A93A6F">
        <w:t>Figure 4. Optimization flow scheme of the shear-stress controlled approach.</w:t>
      </w:r>
      <w:r w:rsidR="00F26C12" w:rsidRPr="00A93A6F">
        <w:t xml:space="preserve"> </w:t>
      </w:r>
      <w:r w:rsidRPr="00A93A6F">
        <w:rPr>
          <w:b w:val="0"/>
          <w:bCs/>
        </w:rPr>
        <w:t>The target acquired strain (</w:t>
      </w:r>
      <m:oMath>
        <m:sSub>
          <m:sSubPr>
            <m:ctrlPr>
              <w:rPr>
                <w:rFonts w:ascii="Cambria Math" w:hAnsi="Cambria Math"/>
                <w:b w:val="0"/>
                <w:bCs/>
                <w:lang w:val="de-DE"/>
              </w:rPr>
            </m:ctrlPr>
          </m:sSubPr>
          <m:e>
            <m:r>
              <m:rPr>
                <m:sty m:val="bi"/>
              </m:rPr>
              <w:rPr>
                <w:rFonts w:ascii="Cambria Math" w:hAnsi="Cambria Math"/>
                <w:lang w:val="de-DE"/>
              </w:rPr>
              <m:t>γ</m:t>
            </m:r>
          </m:e>
          <m:sub>
            <m:r>
              <m:rPr>
                <m:sty m:val="bi"/>
              </m:rPr>
              <w:rPr>
                <w:rFonts w:ascii="Cambria Math" w:hAnsi="Cambria Math"/>
                <w:lang w:val="de-DE"/>
              </w:rPr>
              <m:t>ind</m:t>
            </m:r>
          </m:sub>
        </m:sSub>
      </m:oMath>
      <w:r w:rsidRPr="00A93A6F">
        <w:rPr>
          <w:b w:val="0"/>
          <w:bCs/>
        </w:rPr>
        <w:t>) is obtained by tuning the initiation point (</w:t>
      </w:r>
      <m:oMath>
        <m:d>
          <m:dPr>
            <m:begChr m:val="|"/>
            <m:endChr m:val="|"/>
            <m:ctrlPr>
              <w:rPr>
                <w:rFonts w:ascii="Cambria Math" w:hAnsi="Cambria Math"/>
                <w:b w:val="0"/>
                <w:bCs/>
                <w:lang w:val="de-DE"/>
              </w:rPr>
            </m:ctrlPr>
          </m:dPr>
          <m:e>
            <m:sSubSup>
              <m:sSubSupPr>
                <m:ctrlPr>
                  <w:rPr>
                    <w:rFonts w:ascii="Cambria Math" w:hAnsi="Cambria Math"/>
                    <w:b w:val="0"/>
                    <w:bCs/>
                    <w:lang w:val="de-DE"/>
                  </w:rPr>
                </m:ctrlPr>
              </m:sSubSupPr>
              <m:e>
                <m:r>
                  <m:rPr>
                    <m:sty m:val="bi"/>
                  </m:rPr>
                  <w:rPr>
                    <w:rFonts w:ascii="Cambria Math" w:hAnsi="Cambria Math"/>
                    <w:lang w:val="de-DE"/>
                  </w:rPr>
                  <m:t>G</m:t>
                </m:r>
              </m:e>
              <m:sub>
                <m:r>
                  <m:rPr>
                    <m:sty m:val="bi"/>
                  </m:rPr>
                  <w:rPr>
                    <w:rFonts w:ascii="Cambria Math" w:hAnsi="Cambria Math"/>
                    <w:lang w:val="de-DE"/>
                  </w:rPr>
                  <m:t>s</m:t>
                </m:r>
              </m:sub>
              <m:sup>
                <m:r>
                  <m:rPr>
                    <m:sty m:val="bi"/>
                  </m:rPr>
                  <w:rPr>
                    <w:rFonts w:ascii="Cambria Math" w:hAnsi="Cambria Math"/>
                  </w:rPr>
                  <m:t>*</m:t>
                </m:r>
              </m:sup>
            </m:sSubSup>
          </m:e>
        </m:d>
      </m:oMath>
      <w:r w:rsidRPr="00A93A6F">
        <w:rPr>
          <w:b w:val="0"/>
          <w:bCs/>
        </w:rPr>
        <w:t>) and the magnitude of the applied rotational stress (</w:t>
      </w:r>
      <m:oMath>
        <m:sSub>
          <m:sSubPr>
            <m:ctrlPr>
              <w:rPr>
                <w:rFonts w:ascii="Cambria Math" w:hAnsi="Cambria Math"/>
                <w:b w:val="0"/>
                <w:bCs/>
                <w:lang w:val="de-DE"/>
              </w:rPr>
            </m:ctrlPr>
          </m:sSubPr>
          <m:e>
            <m:r>
              <m:rPr>
                <m:sty m:val="bi"/>
              </m:rPr>
              <w:rPr>
                <w:rFonts w:ascii="Cambria Math" w:hAnsi="Cambria Math"/>
                <w:lang w:val="de-DE"/>
              </w:rPr>
              <m:t>σ</m:t>
            </m:r>
          </m:e>
          <m:sub>
            <m:r>
              <m:rPr>
                <m:sty m:val="bi"/>
              </m:rPr>
              <w:rPr>
                <w:rFonts w:ascii="Cambria Math" w:hAnsi="Cambria Math"/>
                <w:lang w:val="de-DE"/>
              </w:rPr>
              <m:t>app</m:t>
            </m:r>
          </m:sub>
        </m:sSub>
      </m:oMath>
      <w:r w:rsidRPr="00A93A6F">
        <w:rPr>
          <w:b w:val="0"/>
          <w:bCs/>
        </w:rPr>
        <w:t>) in an iterative manner.</w:t>
      </w:r>
    </w:p>
    <w:p w14:paraId="152836CE" w14:textId="77777777" w:rsidR="00437BE5" w:rsidRPr="00A93A6F" w:rsidRDefault="00437BE5" w:rsidP="00FD4372">
      <w:pPr>
        <w:pStyle w:val="Head1"/>
      </w:pPr>
    </w:p>
    <w:p w14:paraId="42CB2778" w14:textId="77777777" w:rsidR="00437BE5" w:rsidRPr="00A93A6F" w:rsidRDefault="00437BE5" w:rsidP="00FD4372">
      <w:pPr>
        <w:pStyle w:val="Head1"/>
      </w:pPr>
      <w:r w:rsidRPr="00A93A6F">
        <w:t>3.2. Characterizing the resulting fibrillar alignment</w:t>
      </w:r>
    </w:p>
    <w:p w14:paraId="58333B4E" w14:textId="54B62781" w:rsidR="004278B0" w:rsidRPr="00A93A6F" w:rsidRDefault="00437BE5" w:rsidP="002E2B07">
      <w:pPr>
        <w:pStyle w:val="Legend"/>
        <w:spacing w:line="360" w:lineRule="auto"/>
        <w:jc w:val="both"/>
      </w:pPr>
      <w:r w:rsidRPr="00A93A6F">
        <w:rPr>
          <w:bCs/>
        </w:rPr>
        <w:t>Apart from reproducibility, the other key point of this work is to relate the measured macroscopic rheological properties (</w:t>
      </w:r>
      <w:r w:rsidRPr="00A93A6F">
        <w:rPr>
          <w:bCs/>
          <w:i/>
          <w:iCs/>
        </w:rPr>
        <w:t>e.g.</w:t>
      </w:r>
      <w:r w:rsidRPr="00A93A6F">
        <w:rPr>
          <w:bCs/>
          <w:i/>
        </w:rPr>
        <w:t xml:space="preserve">, </w:t>
      </w:r>
      <m:oMath>
        <m:sSub>
          <m:sSubPr>
            <m:ctrlPr>
              <w:rPr>
                <w:rFonts w:ascii="Cambria Math" w:hAnsi="Cambria Math"/>
                <w:bCs/>
              </w:rPr>
            </m:ctrlPr>
          </m:sSubPr>
          <m:e>
            <m:r>
              <m:rPr>
                <m:sty m:val="bi"/>
              </m:rPr>
              <w:rPr>
                <w:rFonts w:ascii="Cambria Math" w:hAnsi="Cambria Math"/>
              </w:rPr>
              <m:t>γ</m:t>
            </m:r>
          </m:e>
          <m:sub>
            <m:r>
              <m:rPr>
                <m:sty m:val="bi"/>
              </m:rPr>
              <w:rPr>
                <w:rFonts w:ascii="Cambria Math" w:hAnsi="Cambria Math"/>
              </w:rPr>
              <m:t>ind</m:t>
            </m:r>
          </m:sub>
        </m:sSub>
      </m:oMath>
      <w:r w:rsidRPr="00A93A6F">
        <w:rPr>
          <w:bCs/>
        </w:rPr>
        <w:t xml:space="preserve"> and</w:t>
      </w:r>
      <w:r w:rsidRPr="00A93A6F">
        <w:rPr>
          <w:bCs/>
          <w:i/>
        </w:rPr>
        <w:t xml:space="preserve"> </w:t>
      </w:r>
      <m:oMath>
        <m:sSub>
          <m:sSubPr>
            <m:ctrlPr>
              <w:rPr>
                <w:rFonts w:ascii="Cambria Math" w:hAnsi="Cambria Math"/>
                <w:bCs/>
              </w:rPr>
            </m:ctrlPr>
          </m:sSubPr>
          <m:e>
            <m:acc>
              <m:accPr>
                <m:chr m:val="̇"/>
                <m:ctrlPr>
                  <w:rPr>
                    <w:rFonts w:ascii="Cambria Math" w:hAnsi="Cambria Math"/>
                    <w:bCs/>
                  </w:rPr>
                </m:ctrlPr>
              </m:accPr>
              <m:e>
                <m:r>
                  <m:rPr>
                    <m:sty m:val="bi"/>
                  </m:rPr>
                  <w:rPr>
                    <w:rFonts w:ascii="Cambria Math" w:hAnsi="Cambria Math"/>
                  </w:rPr>
                  <m:t>γ</m:t>
                </m:r>
              </m:e>
            </m:acc>
          </m:e>
          <m:sub>
            <m:r>
              <m:rPr>
                <m:sty m:val="bi"/>
              </m:rPr>
              <w:rPr>
                <w:rFonts w:ascii="Cambria Math" w:hAnsi="Cambria Math"/>
              </w:rPr>
              <m:t>0</m:t>
            </m:r>
          </m:sub>
        </m:sSub>
      </m:oMath>
      <w:r w:rsidRPr="00A93A6F">
        <w:rPr>
          <w:bCs/>
        </w:rPr>
        <w:t>) to the degree of induced orientational ordering, as quantified by the order parameter (</w:t>
      </w:r>
      <m:oMath>
        <m:r>
          <m:rPr>
            <m:sty m:val="bi"/>
          </m:rPr>
          <w:rPr>
            <w:rFonts w:ascii="Cambria Math" w:hAnsi="Cambria Math"/>
          </w:rPr>
          <m:t>S</m:t>
        </m:r>
      </m:oMath>
      <w:r w:rsidRPr="00A93A6F">
        <w:rPr>
          <w:bCs/>
        </w:rPr>
        <w:t xml:space="preserve">) (see section 2.4 for more details). Using SHG microscopy, the 3D order distributions of samples aligned with different </w:t>
      </w:r>
      <m:oMath>
        <m:d>
          <m:dPr>
            <m:begChr m:val="|"/>
            <m:endChr m:val="|"/>
            <m:ctrlPr>
              <w:rPr>
                <w:rFonts w:ascii="Cambria Math" w:hAnsi="Cambria Math"/>
                <w:bCs/>
              </w:rPr>
            </m:ctrlPr>
          </m:dPr>
          <m:e>
            <m:sSubSup>
              <m:sSubSupPr>
                <m:ctrlPr>
                  <w:rPr>
                    <w:rFonts w:ascii="Cambria Math" w:hAnsi="Cambria Math"/>
                    <w:bCs/>
                  </w:rPr>
                </m:ctrlPr>
              </m:sSubSupPr>
              <m:e>
                <m:r>
                  <m:rPr>
                    <m:sty m:val="bi"/>
                  </m:rPr>
                  <w:rPr>
                    <w:rFonts w:ascii="Cambria Math" w:hAnsi="Cambria Math"/>
                  </w:rPr>
                  <m:t>G</m:t>
                </m:r>
              </m:e>
              <m:sub>
                <m:r>
                  <m:rPr>
                    <m:sty m:val="bi"/>
                  </m:rPr>
                  <w:rPr>
                    <w:rFonts w:ascii="Cambria Math" w:hAnsi="Cambria Math"/>
                  </w:rPr>
                  <m:t>s</m:t>
                </m:r>
              </m:sub>
              <m:sup>
                <m:r>
                  <m:rPr>
                    <m:sty m:val="bi"/>
                  </m:rPr>
                  <w:rPr>
                    <w:rFonts w:ascii="Cambria Math" w:hAnsi="Cambria Math"/>
                  </w:rPr>
                  <m:t>*</m:t>
                </m:r>
              </m:sup>
            </m:sSubSup>
          </m:e>
        </m:d>
      </m:oMath>
      <w:r w:rsidRPr="00A93A6F">
        <w:rPr>
          <w:bCs/>
        </w:rPr>
        <w:t xml:space="preserve"> values were characterized (</w:t>
      </w:r>
      <w:r w:rsidRPr="00A93A6F">
        <w:rPr>
          <w:b/>
          <w:bCs/>
        </w:rPr>
        <w:t>Figure 5.a-d</w:t>
      </w:r>
      <w:r w:rsidRPr="00A93A6F">
        <w:rPr>
          <w:bCs/>
        </w:rPr>
        <w:t xml:space="preserve">). </w:t>
      </w:r>
      <w:bookmarkStart w:id="8" w:name="_Hlk102052655"/>
      <m:oMath>
        <m:r>
          <m:rPr>
            <m:sty m:val="bi"/>
          </m:rPr>
          <w:rPr>
            <w:rFonts w:ascii="Cambria Math" w:hAnsi="Cambria Math"/>
          </w:rPr>
          <m:t>S</m:t>
        </m:r>
      </m:oMath>
      <w:r w:rsidRPr="00A93A6F">
        <w:rPr>
          <w:bCs/>
        </w:rPr>
        <w:t xml:space="preserve"> </w:t>
      </w:r>
      <w:bookmarkStart w:id="9" w:name="_Hlk90907254"/>
      <w:bookmarkEnd w:id="8"/>
      <w:r w:rsidR="002E2B07" w:rsidRPr="00A93A6F">
        <w:rPr>
          <w:bCs/>
        </w:rPr>
        <w:t>increases with the distance from the center of the sample (</w:t>
      </w:r>
      <w:r w:rsidR="002E2B07" w:rsidRPr="00A93A6F">
        <w:rPr>
          <w:b/>
          <w:bCs/>
        </w:rPr>
        <w:t>Figure 5.e</w:t>
      </w:r>
      <w:r w:rsidR="002E2B07" w:rsidRPr="00A93A6F">
        <w:rPr>
          <w:bCs/>
        </w:rPr>
        <w:t xml:space="preserve">), due to the radial dependence of the strain exerted by the rotational stress for the plate-plate geometry used here. In contrast, the ordering along the gel height (indicated as </w:t>
      </w:r>
      <m:oMath>
        <m:r>
          <m:rPr>
            <m:sty m:val="bi"/>
          </m:rPr>
          <w:rPr>
            <w:rFonts w:ascii="Cambria Math" w:hAnsi="Cambria Math"/>
          </w:rPr>
          <m:t>z</m:t>
        </m:r>
      </m:oMath>
      <w:r w:rsidR="002E2B07" w:rsidRPr="00A93A6F">
        <w:rPr>
          <w:bCs/>
        </w:rPr>
        <w:t>) appears more homogeneous in the bulk, though it decreases slightly towards the sample edges due to interfacial effects (</w:t>
      </w:r>
      <w:r w:rsidR="002E2B07" w:rsidRPr="00A93A6F">
        <w:rPr>
          <w:b/>
          <w:bCs/>
        </w:rPr>
        <w:t>Figure 5.c and d</w:t>
      </w:r>
      <w:r w:rsidR="002E2B07" w:rsidRPr="00A93A6F">
        <w:rPr>
          <w:bCs/>
        </w:rPr>
        <w:t xml:space="preserve">). </w:t>
      </w:r>
      <w:r w:rsidR="002E2B07" w:rsidRPr="00A93A6F">
        <w:t xml:space="preserve">Moreover, extensive visual scanning of the sample along all dimensions shows that the fiber density is homogeneous meaning no cluster formation and/or fracture occurred. </w:t>
      </w:r>
      <w:r w:rsidRPr="00A93A6F">
        <w:t>An average order parameter (</w:t>
      </w:r>
      <m:oMath>
        <m:acc>
          <m:accPr>
            <m:chr m:val="̅"/>
            <m:ctrlPr>
              <w:rPr>
                <w:rFonts w:ascii="Cambria Math" w:hAnsi="Cambria Math"/>
                <w:i/>
              </w:rPr>
            </m:ctrlPr>
          </m:accPr>
          <m:e>
            <m:r>
              <m:rPr>
                <m:sty m:val="bi"/>
              </m:rPr>
              <w:rPr>
                <w:rFonts w:ascii="Cambria Math" w:hAnsi="Cambria Math"/>
              </w:rPr>
              <m:t>S</m:t>
            </m:r>
          </m:e>
        </m:acc>
      </m:oMath>
      <w:r w:rsidRPr="00A93A6F">
        <w:t xml:space="preserve">) was calculated for each sample, as described in the materials and methods section. The relation between this microscopic parameter </w:t>
      </w:r>
      <m:oMath>
        <m:acc>
          <m:accPr>
            <m:chr m:val="̅"/>
            <m:ctrlPr>
              <w:rPr>
                <w:rFonts w:ascii="Cambria Math" w:hAnsi="Cambria Math"/>
                <w:i/>
              </w:rPr>
            </m:ctrlPr>
          </m:accPr>
          <m:e>
            <m:r>
              <m:rPr>
                <m:sty m:val="bi"/>
              </m:rPr>
              <w:rPr>
                <w:rFonts w:ascii="Cambria Math" w:hAnsi="Cambria Math"/>
              </w:rPr>
              <m:t>S</m:t>
            </m:r>
          </m:e>
        </m:acc>
      </m:oMath>
      <w:r w:rsidRPr="00A93A6F">
        <w:t xml:space="preserve"> and the macroscopically induced strain follows a linear trend (blue curve in </w:t>
      </w:r>
      <w:r w:rsidRPr="00A93A6F">
        <w:rPr>
          <w:bCs/>
        </w:rPr>
        <w:t>Figure 5.g</w:t>
      </w:r>
      <w:r w:rsidRPr="00A93A6F">
        <w:t xml:space="preserve">), while its relation with the strain rate magnitude is non-linear (red curve in </w:t>
      </w:r>
      <w:r w:rsidRPr="00A93A6F">
        <w:rPr>
          <w:bCs/>
        </w:rPr>
        <w:t>Figure 5.g</w:t>
      </w:r>
      <w:r w:rsidRPr="00A93A6F">
        <w:t xml:space="preserve">). Furthermore, this parameter has a well-defined non-linear relation with </w:t>
      </w:r>
      <m:oMath>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G</m:t>
                </m:r>
              </m:e>
              <m:sub>
                <m:r>
                  <m:rPr>
                    <m:sty m:val="bi"/>
                  </m:rPr>
                  <w:rPr>
                    <w:rFonts w:ascii="Cambria Math" w:hAnsi="Cambria Math"/>
                  </w:rPr>
                  <m:t>s</m:t>
                </m:r>
              </m:sub>
              <m:sup>
                <m:r>
                  <m:rPr>
                    <m:sty m:val="bi"/>
                  </m:rPr>
                  <w:rPr>
                    <w:rFonts w:ascii="Cambria Math" w:hAnsi="Cambria Math"/>
                  </w:rPr>
                  <m:t>*</m:t>
                </m:r>
              </m:sup>
            </m:sSubSup>
          </m:e>
        </m:d>
      </m:oMath>
      <w:r w:rsidRPr="00A93A6F">
        <w:t xml:space="preserve"> (</w:t>
      </w:r>
      <w:r w:rsidRPr="00A93A6F">
        <w:rPr>
          <w:bCs/>
        </w:rPr>
        <w:t>Figure 5.f</w:t>
      </w:r>
      <w:r w:rsidRPr="00A93A6F">
        <w:t xml:space="preserve">), indicating that by controlling </w:t>
      </w:r>
      <m:oMath>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G</m:t>
                </m:r>
              </m:e>
              <m:sub>
                <m:r>
                  <m:rPr>
                    <m:sty m:val="bi"/>
                  </m:rPr>
                  <w:rPr>
                    <w:rFonts w:ascii="Cambria Math" w:hAnsi="Cambria Math"/>
                  </w:rPr>
                  <m:t>s</m:t>
                </m:r>
              </m:sub>
              <m:sup>
                <m:r>
                  <m:rPr>
                    <m:sty m:val="bi"/>
                  </m:rPr>
                  <w:rPr>
                    <w:rFonts w:ascii="Cambria Math" w:hAnsi="Cambria Math"/>
                  </w:rPr>
                  <m:t>*</m:t>
                </m:r>
              </m:sup>
            </m:sSubSup>
          </m:e>
        </m:d>
      </m:oMath>
      <w:r w:rsidRPr="00A93A6F">
        <w:t xml:space="preserve">, the microscopic alignment can be well controlled. The underlying mechanism can be understood as follows: when applying a fixed stress, the developing fibers become strained along the direction of </w:t>
      </w:r>
      <m:oMath>
        <m:sSub>
          <m:sSubPr>
            <m:ctrlPr>
              <w:rPr>
                <w:rFonts w:ascii="Cambria Math" w:hAnsi="Cambria Math"/>
              </w:rPr>
            </m:ctrlPr>
          </m:sSubPr>
          <m:e>
            <m:r>
              <m:rPr>
                <m:sty m:val="bi"/>
              </m:rPr>
              <w:rPr>
                <w:rFonts w:ascii="Cambria Math" w:hAnsi="Cambria Math"/>
              </w:rPr>
              <m:t>σ</m:t>
            </m:r>
          </m:e>
          <m:sub>
            <m:r>
              <m:rPr>
                <m:sty m:val="bi"/>
              </m:rPr>
              <w:rPr>
                <w:rFonts w:ascii="Cambria Math" w:hAnsi="Cambria Math"/>
              </w:rPr>
              <m:t>app</m:t>
            </m:r>
          </m:sub>
        </m:sSub>
      </m:oMath>
      <w:r w:rsidRPr="00A93A6F">
        <w:t>. Upon further network formation the strained fibers become arrested into this non-equilibrium aligned state due to the presence of newly formed fibers and connections,</w:t>
      </w:r>
      <w:r w:rsidRPr="00A93A6F" w:rsidDel="008A445F">
        <w:t xml:space="preserve"> </w:t>
      </w:r>
      <w:r w:rsidRPr="00A93A6F">
        <w:t xml:space="preserve">so that random Brownian motion is inhibited after releasing the stress. Hence, controlling the induced alignment requires control over </w:t>
      </w:r>
      <m:oMath>
        <m:sSub>
          <m:sSubPr>
            <m:ctrlPr>
              <w:rPr>
                <w:rFonts w:ascii="Cambria Math" w:hAnsi="Cambria Math"/>
              </w:rPr>
            </m:ctrlPr>
          </m:sSubPr>
          <m:e>
            <m:r>
              <m:rPr>
                <m:sty m:val="bi"/>
              </m:rPr>
              <w:rPr>
                <w:rFonts w:ascii="Cambria Math" w:hAnsi="Cambria Math"/>
              </w:rPr>
              <m:t>γ</m:t>
            </m:r>
          </m:e>
          <m:sub>
            <m:r>
              <m:rPr>
                <m:sty m:val="bi"/>
              </m:rPr>
              <w:rPr>
                <w:rFonts w:ascii="Cambria Math" w:hAnsi="Cambria Math"/>
              </w:rPr>
              <m:t>ind</m:t>
            </m:r>
          </m:sub>
        </m:sSub>
      </m:oMath>
      <w:r w:rsidRPr="00A93A6F">
        <w:t xml:space="preserve">, which </w:t>
      </w:r>
      <w:r w:rsidRPr="00A93A6F">
        <w:lastRenderedPageBreak/>
        <w:t xml:space="preserve">is done in our procedure by tuning </w:t>
      </w:r>
      <m:oMath>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G</m:t>
                </m:r>
              </m:e>
              <m:sub>
                <m:r>
                  <m:rPr>
                    <m:sty m:val="bi"/>
                  </m:rPr>
                  <w:rPr>
                    <w:rFonts w:ascii="Cambria Math" w:hAnsi="Cambria Math"/>
                  </w:rPr>
                  <m:t>s</m:t>
                </m:r>
              </m:sub>
              <m:sup>
                <m:r>
                  <m:rPr>
                    <m:sty m:val="bi"/>
                  </m:rPr>
                  <w:rPr>
                    <w:rFonts w:ascii="Cambria Math" w:hAnsi="Cambria Math"/>
                  </w:rPr>
                  <m:t>*</m:t>
                </m:r>
              </m:sup>
            </m:sSubSup>
          </m:e>
        </m:d>
      </m:oMath>
      <w:r w:rsidRPr="00A93A6F">
        <w:t>. The reason is that the initial magnitude of the induced flow (</w:t>
      </w:r>
      <w:r w:rsidRPr="00A93A6F">
        <w:rPr>
          <w:i/>
          <w:iCs/>
        </w:rPr>
        <w:t xml:space="preserve">e.g., </w:t>
      </w:r>
      <m:oMath>
        <m:sSub>
          <m:sSubPr>
            <m:ctrlPr>
              <w:rPr>
                <w:rFonts w:ascii="Cambria Math" w:hAnsi="Cambria Math"/>
              </w:rPr>
            </m:ctrlPr>
          </m:sSubPr>
          <m:e>
            <m:acc>
              <m:accPr>
                <m:chr m:val="̇"/>
                <m:ctrlPr>
                  <w:rPr>
                    <w:rFonts w:ascii="Cambria Math" w:hAnsi="Cambria Math"/>
                  </w:rPr>
                </m:ctrlPr>
              </m:accPr>
              <m:e>
                <m:r>
                  <m:rPr>
                    <m:sty m:val="bi"/>
                  </m:rPr>
                  <w:rPr>
                    <w:rFonts w:ascii="Cambria Math" w:hAnsi="Cambria Math"/>
                  </w:rPr>
                  <m:t>γ</m:t>
                </m:r>
              </m:e>
            </m:acc>
          </m:e>
          <m:sub>
            <m:r>
              <m:rPr>
                <m:sty m:val="bi"/>
              </m:rPr>
              <w:rPr>
                <w:rFonts w:ascii="Cambria Math" w:hAnsi="Cambria Math"/>
              </w:rPr>
              <m:t>0</m:t>
            </m:r>
          </m:sub>
        </m:sSub>
      </m:oMath>
      <w:r w:rsidRPr="00A93A6F">
        <w:rPr>
          <w:iCs/>
        </w:rPr>
        <w:t>)</w:t>
      </w:r>
      <w:r w:rsidRPr="00A93A6F" w:rsidDel="0028744C">
        <w:t xml:space="preserve"> </w:t>
      </w:r>
      <w:r w:rsidRPr="00A93A6F">
        <w:t>as well as the time required to inhibit Brownian motion of the strained fibers (</w:t>
      </w:r>
      <w:r w:rsidRPr="00A93A6F">
        <w:rPr>
          <w:i/>
          <w:iCs/>
        </w:rPr>
        <w:t xml:space="preserve">i.e., </w:t>
      </w:r>
      <w:r w:rsidRPr="00A93A6F">
        <w:t xml:space="preserve">the duration of the induced flow) is affected by </w:t>
      </w:r>
      <m:oMath>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G</m:t>
                </m:r>
              </m:e>
              <m:sub>
                <m:r>
                  <m:rPr>
                    <m:sty m:val="bi"/>
                  </m:rPr>
                  <w:rPr>
                    <w:rFonts w:ascii="Cambria Math" w:hAnsi="Cambria Math"/>
                  </w:rPr>
                  <m:t>s</m:t>
                </m:r>
              </m:sub>
              <m:sup>
                <m:r>
                  <m:rPr>
                    <m:sty m:val="bi"/>
                  </m:rPr>
                  <w:rPr>
                    <w:rFonts w:ascii="Cambria Math" w:hAnsi="Cambria Math"/>
                  </w:rPr>
                  <m:t>*</m:t>
                </m:r>
              </m:sup>
            </m:sSubSup>
          </m:e>
        </m:d>
      </m:oMath>
      <w:r w:rsidRPr="00A93A6F">
        <w:t>. Complete arrest of flow occurs when the measured strain (</w:t>
      </w:r>
      <m:oMath>
        <m:r>
          <m:rPr>
            <m:sty m:val="bi"/>
          </m:rPr>
          <w:rPr>
            <w:rFonts w:ascii="Cambria Math" w:hAnsi="Cambria Math"/>
          </w:rPr>
          <m:t>γ</m:t>
        </m:r>
      </m:oMath>
      <w:r w:rsidRPr="00A93A6F">
        <w:t xml:space="preserve">) reaches a plateau. </w:t>
      </w:r>
      <m:oMath>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G</m:t>
                </m:r>
              </m:e>
              <m:sub>
                <m:r>
                  <m:rPr>
                    <m:sty m:val="bi"/>
                  </m:rPr>
                  <w:rPr>
                    <w:rFonts w:ascii="Cambria Math" w:hAnsi="Cambria Math"/>
                  </w:rPr>
                  <m:t>s</m:t>
                </m:r>
              </m:sub>
              <m:sup>
                <m:r>
                  <m:rPr>
                    <m:sty m:val="bi"/>
                  </m:rPr>
                  <w:rPr>
                    <w:rFonts w:ascii="Cambria Math" w:hAnsi="Cambria Math"/>
                  </w:rPr>
                  <m:t>*</m:t>
                </m:r>
              </m:sup>
            </m:sSubSup>
          </m:e>
        </m:d>
      </m:oMath>
      <w:r w:rsidRPr="00A93A6F">
        <w:t xml:space="preserve"> influences the resulting </w:t>
      </w:r>
      <m:oMath>
        <m:sSub>
          <m:sSubPr>
            <m:ctrlPr>
              <w:rPr>
                <w:rFonts w:ascii="Cambria Math" w:hAnsi="Cambria Math"/>
              </w:rPr>
            </m:ctrlPr>
          </m:sSubPr>
          <m:e>
            <m:r>
              <m:rPr>
                <m:sty m:val="bi"/>
              </m:rPr>
              <w:rPr>
                <w:rFonts w:ascii="Cambria Math" w:hAnsi="Cambria Math"/>
              </w:rPr>
              <m:t>γ</m:t>
            </m:r>
          </m:e>
          <m:sub>
            <m:r>
              <m:rPr>
                <m:sty m:val="bi"/>
              </m:rPr>
              <w:rPr>
                <w:rFonts w:ascii="Cambria Math" w:hAnsi="Cambria Math"/>
              </w:rPr>
              <m:t>ind</m:t>
            </m:r>
          </m:sub>
        </m:sSub>
      </m:oMath>
      <w:r w:rsidRPr="00A93A6F">
        <w:t xml:space="preserve"> because reaching this plateau requires a relatively long time when a low </w:t>
      </w:r>
      <m:oMath>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G</m:t>
                </m:r>
              </m:e>
              <m:sub>
                <m:r>
                  <m:rPr>
                    <m:sty m:val="bi"/>
                  </m:rPr>
                  <w:rPr>
                    <w:rFonts w:ascii="Cambria Math" w:hAnsi="Cambria Math"/>
                  </w:rPr>
                  <m:t>s</m:t>
                </m:r>
              </m:sub>
              <m:sup>
                <m:r>
                  <m:rPr>
                    <m:sty m:val="bi"/>
                  </m:rPr>
                  <w:rPr>
                    <w:rFonts w:ascii="Cambria Math" w:hAnsi="Cambria Math"/>
                  </w:rPr>
                  <m:t>*</m:t>
                </m:r>
              </m:sup>
            </m:sSubSup>
          </m:e>
        </m:d>
      </m:oMath>
      <w:r w:rsidRPr="00A93A6F">
        <w:t xml:space="preserve"> is applied (corresponding to shorter starting times). In this case, a high </w:t>
      </w:r>
      <m:oMath>
        <m:sSub>
          <m:sSubPr>
            <m:ctrlPr>
              <w:rPr>
                <w:rFonts w:ascii="Cambria Math" w:hAnsi="Cambria Math"/>
              </w:rPr>
            </m:ctrlPr>
          </m:sSubPr>
          <m:e>
            <m:acc>
              <m:accPr>
                <m:chr m:val="̇"/>
                <m:ctrlPr>
                  <w:rPr>
                    <w:rFonts w:ascii="Cambria Math" w:hAnsi="Cambria Math"/>
                  </w:rPr>
                </m:ctrlPr>
              </m:accPr>
              <m:e>
                <m:r>
                  <m:rPr>
                    <m:sty m:val="bi"/>
                  </m:rPr>
                  <w:rPr>
                    <w:rFonts w:ascii="Cambria Math" w:hAnsi="Cambria Math"/>
                  </w:rPr>
                  <m:t>γ</m:t>
                </m:r>
              </m:e>
            </m:acc>
          </m:e>
          <m:sub>
            <m:r>
              <m:rPr>
                <m:sty m:val="bi"/>
              </m:rPr>
              <w:rPr>
                <w:rFonts w:ascii="Cambria Math" w:hAnsi="Cambria Math"/>
              </w:rPr>
              <m:t>0</m:t>
            </m:r>
          </m:sub>
        </m:sSub>
      </m:oMath>
      <w:r w:rsidRPr="00A93A6F">
        <w:t xml:space="preserve"> is obtained</w:t>
      </w:r>
      <w:r w:rsidR="009B32F9" w:rsidRPr="00A93A6F">
        <w:t>,</w:t>
      </w:r>
      <w:r w:rsidRPr="00A93A6F">
        <w:t xml:space="preserve"> that decays over a longer time period, such that effectively a high </w:t>
      </w:r>
      <m:oMath>
        <m:sSub>
          <m:sSubPr>
            <m:ctrlPr>
              <w:rPr>
                <w:rFonts w:ascii="Cambria Math" w:hAnsi="Cambria Math"/>
              </w:rPr>
            </m:ctrlPr>
          </m:sSubPr>
          <m:e>
            <m:r>
              <m:rPr>
                <m:sty m:val="bi"/>
              </m:rPr>
              <w:rPr>
                <w:rFonts w:ascii="Cambria Math" w:hAnsi="Cambria Math"/>
              </w:rPr>
              <m:t>γ</m:t>
            </m:r>
          </m:e>
          <m:sub>
            <m:r>
              <m:rPr>
                <m:sty m:val="bi"/>
              </m:rPr>
              <w:rPr>
                <w:rFonts w:ascii="Cambria Math" w:hAnsi="Cambria Math"/>
              </w:rPr>
              <m:t>ind</m:t>
            </m:r>
          </m:sub>
        </m:sSub>
      </m:oMath>
      <w:r w:rsidRPr="00A93A6F">
        <w:t xml:space="preserve"> can be acquired. On the contrary, at a high </w:t>
      </w:r>
      <m:oMath>
        <m:d>
          <m:dPr>
            <m:begChr m:val="|"/>
            <m:endChr m:val="|"/>
            <m:ctrlPr>
              <w:rPr>
                <w:rFonts w:ascii="Cambria Math" w:hAnsi="Cambria Math"/>
                <w:i/>
              </w:rPr>
            </m:ctrlPr>
          </m:dPr>
          <m:e>
            <m:sSubSup>
              <m:sSubSupPr>
                <m:ctrlPr>
                  <w:rPr>
                    <w:rFonts w:ascii="Cambria Math" w:hAnsi="Cambria Math"/>
                    <w:i/>
                  </w:rPr>
                </m:ctrlPr>
              </m:sSubSupPr>
              <m:e>
                <m:r>
                  <m:rPr>
                    <m:sty m:val="bi"/>
                  </m:rPr>
                  <w:rPr>
                    <w:rFonts w:ascii="Cambria Math" w:hAnsi="Cambria Math"/>
                  </w:rPr>
                  <m:t>G</m:t>
                </m:r>
              </m:e>
              <m:sub>
                <m:r>
                  <m:rPr>
                    <m:sty m:val="bi"/>
                  </m:rPr>
                  <w:rPr>
                    <w:rFonts w:ascii="Cambria Math" w:hAnsi="Cambria Math"/>
                  </w:rPr>
                  <m:t>s</m:t>
                </m:r>
              </m:sub>
              <m:sup>
                <m:r>
                  <m:rPr>
                    <m:sty m:val="bi"/>
                  </m:rPr>
                  <w:rPr>
                    <w:rFonts w:ascii="Cambria Math" w:hAnsi="Cambria Math"/>
                  </w:rPr>
                  <m:t>*</m:t>
                </m:r>
              </m:sup>
            </m:sSubSup>
          </m:e>
        </m:d>
      </m:oMath>
      <w:r w:rsidRPr="00A93A6F">
        <w:t xml:space="preserve"> only a relatively short time is required before terminal solidification, resulting in a smaller </w:t>
      </w:r>
      <m:oMath>
        <m:sSub>
          <m:sSubPr>
            <m:ctrlPr>
              <w:rPr>
                <w:rFonts w:ascii="Cambria Math" w:hAnsi="Cambria Math"/>
              </w:rPr>
            </m:ctrlPr>
          </m:sSubPr>
          <m:e>
            <m:r>
              <m:rPr>
                <m:sty m:val="bi"/>
              </m:rPr>
              <w:rPr>
                <w:rFonts w:ascii="Cambria Math" w:hAnsi="Cambria Math"/>
              </w:rPr>
              <m:t>γ</m:t>
            </m:r>
          </m:e>
          <m:sub>
            <m:r>
              <m:rPr>
                <m:sty m:val="bi"/>
              </m:rPr>
              <w:rPr>
                <w:rFonts w:ascii="Cambria Math" w:hAnsi="Cambria Math"/>
              </w:rPr>
              <m:t>ind</m:t>
            </m:r>
          </m:sub>
        </m:sSub>
      </m:oMath>
      <w:r w:rsidRPr="00A93A6F">
        <w:t xml:space="preserve">. Hence, both the resulting strain rate and the time before full solidification determine </w:t>
      </w:r>
      <m:oMath>
        <m:sSub>
          <m:sSubPr>
            <m:ctrlPr>
              <w:rPr>
                <w:rFonts w:ascii="Cambria Math" w:hAnsi="Cambria Math"/>
              </w:rPr>
            </m:ctrlPr>
          </m:sSubPr>
          <m:e>
            <m:r>
              <m:rPr>
                <m:sty m:val="bi"/>
              </m:rPr>
              <w:rPr>
                <w:rFonts w:ascii="Cambria Math" w:hAnsi="Cambria Math"/>
              </w:rPr>
              <m:t>γ</m:t>
            </m:r>
          </m:e>
          <m:sub>
            <m:r>
              <m:rPr>
                <m:sty m:val="bi"/>
              </m:rPr>
              <w:rPr>
                <w:rFonts w:ascii="Cambria Math" w:hAnsi="Cambria Math"/>
              </w:rPr>
              <m:t>ind</m:t>
            </m:r>
          </m:sub>
        </m:sSub>
      </m:oMath>
      <w:r w:rsidRPr="00A93A6F">
        <w:t xml:space="preserve"> and therefore the alignment. As such, controlling </w:t>
      </w:r>
      <m:oMath>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G</m:t>
                </m:r>
              </m:e>
              <m:sub>
                <m:r>
                  <m:rPr>
                    <m:sty m:val="bi"/>
                  </m:rPr>
                  <w:rPr>
                    <w:rFonts w:ascii="Cambria Math" w:hAnsi="Cambria Math"/>
                  </w:rPr>
                  <m:t>s</m:t>
                </m:r>
              </m:sub>
              <m:sup>
                <m:r>
                  <m:rPr>
                    <m:sty m:val="bi"/>
                  </m:rPr>
                  <w:rPr>
                    <w:rFonts w:ascii="Cambria Math" w:hAnsi="Cambria Math"/>
                  </w:rPr>
                  <m:t>*</m:t>
                </m:r>
              </m:sup>
            </m:sSubSup>
          </m:e>
        </m:d>
      </m:oMath>
      <w:r w:rsidRPr="00A93A6F">
        <w:t xml:space="preserve"> allows to produce samples with different gradients of fibrillar alignment along the radius of the cylindrical hydrogel sample.</w:t>
      </w:r>
    </w:p>
    <w:p w14:paraId="6B1662FE" w14:textId="37E783FD" w:rsidR="00E320B4" w:rsidRPr="00A93A6F" w:rsidRDefault="00E320B4" w:rsidP="002E2B07">
      <w:pPr>
        <w:pStyle w:val="Legend"/>
        <w:spacing w:line="360" w:lineRule="auto"/>
        <w:jc w:val="both"/>
      </w:pPr>
      <w:r w:rsidRPr="00A93A6F">
        <w:t xml:space="preserve">Results reported in literature use different metrics to quantify alignment, which prohibits </w:t>
      </w:r>
      <w:r w:rsidR="008809DA" w:rsidRPr="00A93A6F">
        <w:t xml:space="preserve">direct </w:t>
      </w:r>
      <w:r w:rsidRPr="00A93A6F">
        <w:t>compari</w:t>
      </w:r>
      <w:r w:rsidR="008809DA" w:rsidRPr="00A93A6F">
        <w:t>son with data acquired in the current work</w:t>
      </w:r>
      <w:r w:rsidRPr="00A93A6F">
        <w:t xml:space="preserve">. However, we have analyzed images taken from [31] with our method (see </w:t>
      </w:r>
      <w:r w:rsidR="000E36A5" w:rsidRPr="00A93A6F">
        <w:t>sub</w:t>
      </w:r>
      <w:r w:rsidRPr="00A93A6F">
        <w:t xml:space="preserve">section 2.5) so that both approaches can be compared. As can be seen in </w:t>
      </w:r>
      <w:r w:rsidRPr="00A93A6F">
        <w:rPr>
          <w:b/>
          <w:bCs/>
        </w:rPr>
        <w:t>Figure S5</w:t>
      </w:r>
      <w:r w:rsidRPr="00A93A6F">
        <w:t>, the obtained degree of collagen alignment is comparable to what has been shown to enhance polarized cell morphology (</w:t>
      </w:r>
      <m:oMath>
        <m:r>
          <w:rPr>
            <w:rFonts w:ascii="Cambria Math" w:hAnsi="Cambria Math"/>
          </w:rPr>
          <m:t>S</m:t>
        </m:r>
      </m:oMath>
      <w:r w:rsidRPr="00A93A6F">
        <w:t>~0.50) [31]. Note that due to differences in image acquisition this comparison is only semiquantitative</w:t>
      </w:r>
      <w:r w:rsidR="005262E3" w:rsidRPr="00A93A6F">
        <w:t>.</w:t>
      </w:r>
    </w:p>
    <w:p w14:paraId="6EA6B53C" w14:textId="7540F09A" w:rsidR="00437BE5" w:rsidRPr="00A93A6F" w:rsidRDefault="006B0A70" w:rsidP="00FD4372">
      <w:pPr>
        <w:pStyle w:val="Head1"/>
      </w:pPr>
      <w:r w:rsidRPr="00A93A6F">
        <w:rPr>
          <w:noProof/>
          <w:lang w:val="nl-BE"/>
        </w:rPr>
        <w:drawing>
          <wp:inline distT="0" distB="0" distL="0" distR="0" wp14:anchorId="575B4100" wp14:editId="3EEB366D">
            <wp:extent cx="5760720" cy="3122295"/>
            <wp:effectExtent l="0" t="0" r="0" b="0"/>
            <wp:docPr id="14" name="Picture 14" descr="G:\Mijn Drive\PHDdrive\RheoPaper2021\Figures\Finished\Fi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Mijn Drive\PHDdrive\RheoPaper2021\Figures\Finished\Fig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122295"/>
                    </a:xfrm>
                    <a:prstGeom prst="rect">
                      <a:avLst/>
                    </a:prstGeom>
                    <a:noFill/>
                    <a:ln>
                      <a:noFill/>
                    </a:ln>
                  </pic:spPr>
                </pic:pic>
              </a:graphicData>
            </a:graphic>
          </wp:inline>
        </w:drawing>
      </w:r>
    </w:p>
    <w:bookmarkEnd w:id="9"/>
    <w:p w14:paraId="0C83AA79" w14:textId="5A6CAC9B" w:rsidR="00437BE5" w:rsidRPr="00A93A6F" w:rsidRDefault="00437BE5" w:rsidP="00437BE5">
      <w:pPr>
        <w:pStyle w:val="Legend"/>
        <w:spacing w:line="360" w:lineRule="auto"/>
        <w:jc w:val="both"/>
        <w:rPr>
          <w:b/>
          <w:bCs/>
        </w:rPr>
      </w:pPr>
      <w:r w:rsidRPr="00A93A6F">
        <w:rPr>
          <w:b/>
        </w:rPr>
        <w:t>Figure 5.</w:t>
      </w:r>
      <w:r w:rsidRPr="00A93A6F">
        <w:t xml:space="preserve"> </w:t>
      </w:r>
      <w:r w:rsidRPr="00A93A6F">
        <w:rPr>
          <w:b/>
        </w:rPr>
        <w:t xml:space="preserve">Controlling the macroscopic rheological properties through </w:t>
      </w:r>
      <m:oMath>
        <m:d>
          <m:dPr>
            <m:begChr m:val="|"/>
            <m:endChr m:val="|"/>
            <m:ctrlPr>
              <w:rPr>
                <w:rFonts w:ascii="Cambria Math" w:hAnsi="Cambria Math"/>
                <w:b/>
                <w:i/>
                <w:lang w:val="de-DE"/>
              </w:rPr>
            </m:ctrlPr>
          </m:dPr>
          <m:e>
            <m:sSubSup>
              <m:sSubSupPr>
                <m:ctrlPr>
                  <w:rPr>
                    <w:rFonts w:ascii="Cambria Math" w:hAnsi="Cambria Math"/>
                    <w:b/>
                    <w:i/>
                    <w:lang w:val="de-DE"/>
                  </w:rPr>
                </m:ctrlPr>
              </m:sSubSupPr>
              <m:e>
                <m:r>
                  <m:rPr>
                    <m:sty m:val="bi"/>
                  </m:rPr>
                  <w:rPr>
                    <w:rFonts w:ascii="Cambria Math" w:hAnsi="Cambria Math"/>
                    <w:lang w:val="de-DE"/>
                  </w:rPr>
                  <m:t>G</m:t>
                </m:r>
              </m:e>
              <m:sub>
                <m:r>
                  <m:rPr>
                    <m:sty m:val="bi"/>
                  </m:rPr>
                  <w:rPr>
                    <w:rFonts w:ascii="Cambria Math" w:hAnsi="Cambria Math"/>
                    <w:lang w:val="de-DE"/>
                  </w:rPr>
                  <m:t>s</m:t>
                </m:r>
              </m:sub>
              <m:sup>
                <m:r>
                  <m:rPr>
                    <m:sty m:val="bi"/>
                  </m:rPr>
                  <w:rPr>
                    <w:rFonts w:ascii="Cambria Math" w:hAnsi="Cambria Math"/>
                  </w:rPr>
                  <m:t>*</m:t>
                </m:r>
              </m:sup>
            </m:sSubSup>
            <m:r>
              <m:rPr>
                <m:sty m:val="bi"/>
              </m:rPr>
              <w:rPr>
                <w:rFonts w:ascii="Cambria Math" w:hAnsi="Cambria Math"/>
              </w:rPr>
              <m:t xml:space="preserve"> </m:t>
            </m:r>
          </m:e>
        </m:d>
      </m:oMath>
      <w:r w:rsidRPr="00A93A6F">
        <w:rPr>
          <w:b/>
        </w:rPr>
        <w:t>allows control over the average collagen fiber ordering (</w:t>
      </w:r>
      <m:oMath>
        <m:acc>
          <m:accPr>
            <m:chr m:val="̅"/>
            <m:ctrlPr>
              <w:rPr>
                <w:rFonts w:ascii="Cambria Math" w:hAnsi="Cambria Math"/>
                <w:b/>
                <w:i/>
                <w:lang w:val="de-DE"/>
              </w:rPr>
            </m:ctrlPr>
          </m:accPr>
          <m:e>
            <m:r>
              <m:rPr>
                <m:sty m:val="bi"/>
              </m:rPr>
              <w:rPr>
                <w:rFonts w:ascii="Cambria Math" w:hAnsi="Cambria Math"/>
                <w:lang w:val="de-DE"/>
              </w:rPr>
              <m:t>S</m:t>
            </m:r>
          </m:e>
        </m:acc>
      </m:oMath>
      <w:r w:rsidRPr="00A93A6F">
        <w:rPr>
          <w:b/>
        </w:rPr>
        <w:t>).</w:t>
      </w:r>
      <w:r w:rsidRPr="00A93A6F">
        <w:t xml:space="preserve"> (a-d) 3D distribution of the resulting order parameter for various initiation points (</w:t>
      </w:r>
      <m:oMath>
        <m:d>
          <m:dPr>
            <m:begChr m:val="|"/>
            <m:endChr m:val="|"/>
            <m:ctrlPr>
              <w:rPr>
                <w:rFonts w:ascii="Cambria Math" w:hAnsi="Cambria Math"/>
                <w:lang w:val="de-DE"/>
              </w:rPr>
            </m:ctrlPr>
          </m:dPr>
          <m:e>
            <m:sSubSup>
              <m:sSubSupPr>
                <m:ctrlPr>
                  <w:rPr>
                    <w:rFonts w:ascii="Cambria Math" w:hAnsi="Cambria Math"/>
                    <w:lang w:val="de-DE"/>
                  </w:rPr>
                </m:ctrlPr>
              </m:sSubSupPr>
              <m:e>
                <m:r>
                  <w:rPr>
                    <w:rFonts w:ascii="Cambria Math" w:hAnsi="Cambria Math"/>
                    <w:lang w:val="de-DE"/>
                  </w:rPr>
                  <m:t>G</m:t>
                </m:r>
              </m:e>
              <m:sub>
                <m:r>
                  <w:rPr>
                    <w:rFonts w:ascii="Cambria Math" w:hAnsi="Cambria Math"/>
                    <w:lang w:val="de-DE"/>
                  </w:rPr>
                  <m:t>s</m:t>
                </m:r>
              </m:sub>
              <m:sup>
                <m:r>
                  <w:rPr>
                    <w:rFonts w:ascii="Cambria Math" w:hAnsi="Cambria Math"/>
                  </w:rPr>
                  <m:t>*</m:t>
                </m:r>
              </m:sup>
            </m:sSubSup>
          </m:e>
        </m:d>
        <m:r>
          <w:rPr>
            <w:rFonts w:ascii="Cambria Math" w:hAnsi="Cambria Math"/>
          </w:rPr>
          <m:t>/</m:t>
        </m:r>
        <m:d>
          <m:dPr>
            <m:begChr m:val="|"/>
            <m:endChr m:val="|"/>
            <m:ctrlPr>
              <w:rPr>
                <w:rFonts w:ascii="Cambria Math" w:hAnsi="Cambria Math"/>
                <w:i/>
                <w:lang w:val="de-DE"/>
              </w:rPr>
            </m:ctrlPr>
          </m:dPr>
          <m:e>
            <m:sSubSup>
              <m:sSubSupPr>
                <m:ctrlPr>
                  <w:rPr>
                    <w:rFonts w:ascii="Cambria Math" w:hAnsi="Cambria Math"/>
                    <w:i/>
                    <w:lang w:val="de-DE"/>
                  </w:rPr>
                </m:ctrlPr>
              </m:sSubSupPr>
              <m:e>
                <m:r>
                  <w:rPr>
                    <w:rFonts w:ascii="Cambria Math" w:hAnsi="Cambria Math"/>
                    <w:lang w:val="de-DE"/>
                  </w:rPr>
                  <m:t>G</m:t>
                </m:r>
              </m:e>
              <m:sub>
                <m:r>
                  <w:rPr>
                    <w:rFonts w:ascii="Cambria Math" w:hAnsi="Cambria Math"/>
                    <w:lang w:val="de-DE"/>
                  </w:rPr>
                  <m:t>c</m:t>
                </m:r>
              </m:sub>
              <m:sup>
                <m:r>
                  <w:rPr>
                    <w:rFonts w:ascii="Cambria Math" w:hAnsi="Cambria Math"/>
                  </w:rPr>
                  <m:t>*</m:t>
                </m:r>
              </m:sup>
            </m:sSubSup>
          </m:e>
        </m:d>
      </m:oMath>
      <w:r w:rsidRPr="00A93A6F">
        <w:t xml:space="preserve">). The corresponding </w:t>
      </w:r>
      <m:oMath>
        <m:d>
          <m:dPr>
            <m:begChr m:val="|"/>
            <m:endChr m:val="|"/>
            <m:ctrlPr>
              <w:rPr>
                <w:rFonts w:ascii="Cambria Math" w:hAnsi="Cambria Math"/>
                <w:lang w:val="de-DE"/>
              </w:rPr>
            </m:ctrlPr>
          </m:dPr>
          <m:e>
            <m:sSubSup>
              <m:sSubSupPr>
                <m:ctrlPr>
                  <w:rPr>
                    <w:rFonts w:ascii="Cambria Math" w:hAnsi="Cambria Math"/>
                    <w:lang w:val="de-DE"/>
                  </w:rPr>
                </m:ctrlPr>
              </m:sSubSupPr>
              <m:e>
                <m:r>
                  <w:rPr>
                    <w:rFonts w:ascii="Cambria Math" w:hAnsi="Cambria Math"/>
                    <w:lang w:val="de-DE"/>
                  </w:rPr>
                  <m:t>G</m:t>
                </m:r>
              </m:e>
              <m:sub>
                <m:r>
                  <w:rPr>
                    <w:rFonts w:ascii="Cambria Math" w:hAnsi="Cambria Math"/>
                    <w:lang w:val="de-DE"/>
                  </w:rPr>
                  <m:t>s</m:t>
                </m:r>
              </m:sub>
              <m:sup>
                <m:r>
                  <w:rPr>
                    <w:rFonts w:ascii="Cambria Math" w:hAnsi="Cambria Math"/>
                  </w:rPr>
                  <m:t>*</m:t>
                </m:r>
              </m:sup>
            </m:sSubSup>
          </m:e>
        </m:d>
        <m:r>
          <w:rPr>
            <w:rFonts w:ascii="Cambria Math" w:hAnsi="Cambria Math"/>
          </w:rPr>
          <m:t>/</m:t>
        </m:r>
        <m:d>
          <m:dPr>
            <m:begChr m:val="|"/>
            <m:endChr m:val="|"/>
            <m:ctrlPr>
              <w:rPr>
                <w:rFonts w:ascii="Cambria Math" w:hAnsi="Cambria Math"/>
                <w:i/>
                <w:lang w:val="de-DE"/>
              </w:rPr>
            </m:ctrlPr>
          </m:dPr>
          <m:e>
            <m:sSubSup>
              <m:sSubSupPr>
                <m:ctrlPr>
                  <w:rPr>
                    <w:rFonts w:ascii="Cambria Math" w:hAnsi="Cambria Math"/>
                    <w:i/>
                    <w:lang w:val="de-DE"/>
                  </w:rPr>
                </m:ctrlPr>
              </m:sSubSupPr>
              <m:e>
                <m:r>
                  <w:rPr>
                    <w:rFonts w:ascii="Cambria Math" w:hAnsi="Cambria Math"/>
                    <w:lang w:val="de-DE"/>
                  </w:rPr>
                  <m:t>G</m:t>
                </m:r>
              </m:e>
              <m:sub>
                <m:r>
                  <w:rPr>
                    <w:rFonts w:ascii="Cambria Math" w:hAnsi="Cambria Math"/>
                    <w:lang w:val="de-DE"/>
                  </w:rPr>
                  <m:t>c</m:t>
                </m:r>
              </m:sub>
              <m:sup>
                <m:r>
                  <w:rPr>
                    <w:rFonts w:ascii="Cambria Math" w:hAnsi="Cambria Math"/>
                  </w:rPr>
                  <m:t>*</m:t>
                </m:r>
              </m:sup>
            </m:sSubSup>
          </m:e>
        </m:d>
      </m:oMath>
      <w:r w:rsidRPr="00A93A6F">
        <w:t xml:space="preserve"> values are (a) 2.15, (b) 1.80, (c) 1.56 and (d) 1.57. (e) Illustration of the order distribution along the radial direction of the sample for two induced strains (</w:t>
      </w:r>
      <m:oMath>
        <m:sSub>
          <m:sSubPr>
            <m:ctrlPr>
              <w:rPr>
                <w:rFonts w:ascii="Cambria Math" w:hAnsi="Cambria Math"/>
                <w:lang w:val="de-DE"/>
              </w:rPr>
            </m:ctrlPr>
          </m:sSubPr>
          <m:e>
            <m:r>
              <w:rPr>
                <w:rFonts w:ascii="Cambria Math" w:hAnsi="Cambria Math"/>
                <w:lang w:val="de-DE"/>
              </w:rPr>
              <m:t>γ</m:t>
            </m:r>
          </m:e>
          <m:sub>
            <m:r>
              <w:rPr>
                <w:rFonts w:ascii="Cambria Math" w:hAnsi="Cambria Math"/>
                <w:lang w:val="de-DE"/>
              </w:rPr>
              <m:t>ind</m:t>
            </m:r>
          </m:sub>
        </m:sSub>
      </m:oMath>
      <w:r w:rsidRPr="00A93A6F">
        <w:t xml:space="preserve">). The color scale in (a-d) represents the </w:t>
      </w:r>
      <w:r w:rsidRPr="00A93A6F">
        <w:lastRenderedPageBreak/>
        <w:t xml:space="preserve">magnitude of </w:t>
      </w:r>
      <m:oMath>
        <m:r>
          <w:rPr>
            <w:rFonts w:ascii="Cambria Math" w:hAnsi="Cambria Math"/>
            <w:lang w:val="de-DE"/>
          </w:rPr>
          <m:t>S</m:t>
        </m:r>
      </m:oMath>
      <w:r w:rsidRPr="00A93A6F">
        <w:t xml:space="preserve">, also illustrated in (e). (f) </w:t>
      </w:r>
      <w:r w:rsidR="00CC05A0" w:rsidRPr="00A93A6F">
        <w:t>Influence of</w:t>
      </w:r>
      <w:r w:rsidRPr="00A93A6F">
        <w:t xml:space="preserve"> </w:t>
      </w:r>
      <m:oMath>
        <m:d>
          <m:dPr>
            <m:begChr m:val="|"/>
            <m:endChr m:val="|"/>
            <m:ctrlPr>
              <w:rPr>
                <w:rFonts w:ascii="Cambria Math" w:hAnsi="Cambria Math"/>
                <w:lang w:val="de-DE"/>
              </w:rPr>
            </m:ctrlPr>
          </m:dPr>
          <m:e>
            <m:sSubSup>
              <m:sSubSupPr>
                <m:ctrlPr>
                  <w:rPr>
                    <w:rFonts w:ascii="Cambria Math" w:hAnsi="Cambria Math"/>
                    <w:lang w:val="de-DE"/>
                  </w:rPr>
                </m:ctrlPr>
              </m:sSubSupPr>
              <m:e>
                <m:r>
                  <w:rPr>
                    <w:rFonts w:ascii="Cambria Math" w:hAnsi="Cambria Math"/>
                    <w:lang w:val="de-DE"/>
                  </w:rPr>
                  <m:t>G</m:t>
                </m:r>
              </m:e>
              <m:sub>
                <m:r>
                  <w:rPr>
                    <w:rFonts w:ascii="Cambria Math" w:hAnsi="Cambria Math"/>
                    <w:lang w:val="de-DE"/>
                  </w:rPr>
                  <m:t>s</m:t>
                </m:r>
              </m:sub>
              <m:sup>
                <m:r>
                  <w:rPr>
                    <w:rFonts w:ascii="Cambria Math" w:hAnsi="Cambria Math"/>
                  </w:rPr>
                  <m:t>*</m:t>
                </m:r>
              </m:sup>
            </m:sSubSup>
          </m:e>
        </m:d>
      </m:oMath>
      <w:r w:rsidR="00CC05A0" w:rsidRPr="00A93A6F">
        <w:t xml:space="preserve"> on</w:t>
      </w:r>
      <w:r w:rsidRPr="00A93A6F">
        <w:t xml:space="preserve"> </w:t>
      </w:r>
      <m:oMath>
        <m:acc>
          <m:accPr>
            <m:chr m:val="̅"/>
            <m:ctrlPr>
              <w:rPr>
                <w:rFonts w:ascii="Cambria Math" w:hAnsi="Cambria Math"/>
                <w:i/>
                <w:lang w:val="de-DE"/>
              </w:rPr>
            </m:ctrlPr>
          </m:accPr>
          <m:e>
            <m:r>
              <w:rPr>
                <w:rFonts w:ascii="Cambria Math" w:hAnsi="Cambria Math"/>
                <w:lang w:val="de-DE"/>
              </w:rPr>
              <m:t>S</m:t>
            </m:r>
          </m:e>
        </m:acc>
      </m:oMath>
      <w:r w:rsidRPr="00A93A6F">
        <w:t xml:space="preserve">. (g) </w:t>
      </w:r>
      <w:r w:rsidR="00CC05A0" w:rsidRPr="00A93A6F">
        <w:t xml:space="preserve">Relation between </w:t>
      </w:r>
      <m:oMath>
        <m:acc>
          <m:accPr>
            <m:chr m:val="̅"/>
            <m:ctrlPr>
              <w:rPr>
                <w:rFonts w:ascii="Cambria Math" w:hAnsi="Cambria Math"/>
                <w:i/>
                <w:lang w:val="de-DE"/>
              </w:rPr>
            </m:ctrlPr>
          </m:accPr>
          <m:e>
            <m:r>
              <w:rPr>
                <w:rFonts w:ascii="Cambria Math" w:hAnsi="Cambria Math"/>
                <w:lang w:val="de-DE"/>
              </w:rPr>
              <m:t>S</m:t>
            </m:r>
          </m:e>
        </m:acc>
      </m:oMath>
      <w:r w:rsidR="00CC05A0" w:rsidRPr="00A93A6F">
        <w:t xml:space="preserve"> and the</w:t>
      </w:r>
      <w:r w:rsidRPr="00A93A6F">
        <w:t xml:space="preserve"> induced strain (</w:t>
      </w:r>
      <m:oMath>
        <m:sSub>
          <m:sSubPr>
            <m:ctrlPr>
              <w:rPr>
                <w:rFonts w:ascii="Cambria Math" w:hAnsi="Cambria Math"/>
                <w:lang w:val="de-DE"/>
              </w:rPr>
            </m:ctrlPr>
          </m:sSubPr>
          <m:e>
            <m:r>
              <w:rPr>
                <w:rFonts w:ascii="Cambria Math" w:hAnsi="Cambria Math"/>
                <w:lang w:val="de-DE"/>
              </w:rPr>
              <m:t>γ</m:t>
            </m:r>
          </m:e>
          <m:sub>
            <m:r>
              <w:rPr>
                <w:rFonts w:ascii="Cambria Math" w:hAnsi="Cambria Math"/>
                <w:lang w:val="de-DE"/>
              </w:rPr>
              <m:t>ind</m:t>
            </m:r>
          </m:sub>
        </m:sSub>
      </m:oMath>
      <w:r w:rsidRPr="00A93A6F">
        <w:t>) and the shear flow magnitude (</w:t>
      </w:r>
      <m:oMath>
        <m:sSub>
          <m:sSubPr>
            <m:ctrlPr>
              <w:rPr>
                <w:rFonts w:ascii="Cambria Math" w:hAnsi="Cambria Math"/>
                <w:lang w:val="de-DE"/>
              </w:rPr>
            </m:ctrlPr>
          </m:sSubPr>
          <m:e>
            <m:acc>
              <m:accPr>
                <m:chr m:val="̇"/>
                <m:ctrlPr>
                  <w:rPr>
                    <w:rFonts w:ascii="Cambria Math" w:hAnsi="Cambria Math"/>
                    <w:lang w:val="de-DE"/>
                  </w:rPr>
                </m:ctrlPr>
              </m:accPr>
              <m:e>
                <m:r>
                  <w:rPr>
                    <w:rFonts w:ascii="Cambria Math" w:hAnsi="Cambria Math"/>
                    <w:lang w:val="de-DE"/>
                  </w:rPr>
                  <m:t>γ</m:t>
                </m:r>
              </m:e>
            </m:acc>
          </m:e>
          <m:sub>
            <m:r>
              <w:rPr>
                <w:rFonts w:ascii="Cambria Math" w:hAnsi="Cambria Math"/>
              </w:rPr>
              <m:t>0</m:t>
            </m:r>
          </m:sub>
        </m:sSub>
      </m:oMath>
      <w:r w:rsidRPr="00A93A6F">
        <w:t xml:space="preserve">), indicated in </w:t>
      </w:r>
      <w:r w:rsidR="00CC05A0" w:rsidRPr="00A93A6F">
        <w:t>red and green</w:t>
      </w:r>
      <w:r w:rsidRPr="00A93A6F">
        <w:t xml:space="preserve"> respectively. The solid lines in (f) and (g) are plotted to guide the eye. Error bars representing the standard error are smaller than the symbol size in (f) and (g). The applied rotational stress for all these samples was 1.5 Pa. All samples were solidified at a temperature of 27 </w:t>
      </w:r>
      <w:r w:rsidRPr="00A93A6F">
        <w:rPr>
          <w:vertAlign w:val="superscript"/>
        </w:rPr>
        <w:t>◦</w:t>
      </w:r>
      <w:r w:rsidRPr="00A93A6F">
        <w:t xml:space="preserve">C. </w:t>
      </w:r>
    </w:p>
    <w:p w14:paraId="322F982F" w14:textId="77777777" w:rsidR="00437BE5" w:rsidRPr="00A93A6F" w:rsidRDefault="00437BE5" w:rsidP="00437BE5">
      <w:pPr>
        <w:pStyle w:val="Legend"/>
        <w:spacing w:line="360" w:lineRule="auto"/>
        <w:jc w:val="both"/>
      </w:pPr>
    </w:p>
    <w:p w14:paraId="66EE0DB3" w14:textId="77777777" w:rsidR="00437BE5" w:rsidRPr="00A93A6F" w:rsidRDefault="00437BE5" w:rsidP="00437BE5">
      <w:pPr>
        <w:pStyle w:val="Legend"/>
        <w:spacing w:line="360" w:lineRule="auto"/>
        <w:rPr>
          <w:b/>
        </w:rPr>
      </w:pPr>
      <w:r w:rsidRPr="00A93A6F">
        <w:rPr>
          <w:b/>
        </w:rPr>
        <w:t>3.3 Limits of the stress-controlled procedure</w:t>
      </w:r>
    </w:p>
    <w:p w14:paraId="559088EF" w14:textId="70E62319" w:rsidR="00437BE5" w:rsidRPr="00A93A6F" w:rsidRDefault="00437BE5" w:rsidP="00437BE5">
      <w:pPr>
        <w:pStyle w:val="Legend"/>
        <w:spacing w:line="360" w:lineRule="auto"/>
        <w:jc w:val="both"/>
      </w:pPr>
      <w:r w:rsidRPr="00A93A6F">
        <w:t xml:space="preserve">While control over the alignment was obtained by varying </w:t>
      </w:r>
      <m:oMath>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G</m:t>
                </m:r>
              </m:e>
              <m:sub>
                <m:r>
                  <w:rPr>
                    <w:rFonts w:ascii="Cambria Math" w:hAnsi="Cambria Math"/>
                  </w:rPr>
                  <m:t>s</m:t>
                </m:r>
              </m:sub>
              <m:sup>
                <m:r>
                  <w:rPr>
                    <w:rFonts w:ascii="Cambria Math" w:hAnsi="Cambria Math"/>
                  </w:rPr>
                  <m:t>*</m:t>
                </m:r>
              </m:sup>
            </m:sSubSup>
          </m:e>
        </m:d>
      </m:oMath>
      <w:r w:rsidRPr="00A93A6F">
        <w:t xml:space="preserve">, this was only possible within a certain </w:t>
      </w:r>
      <m:oMath>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G</m:t>
                </m:r>
              </m:e>
              <m:sub>
                <m:r>
                  <w:rPr>
                    <w:rFonts w:ascii="Cambria Math" w:hAnsi="Cambria Math"/>
                  </w:rPr>
                  <m:t>s</m:t>
                </m:r>
              </m:sub>
              <m:sup>
                <m:r>
                  <w:rPr>
                    <w:rFonts w:ascii="Cambria Math" w:hAnsi="Cambria Math"/>
                  </w:rPr>
                  <m:t>*</m:t>
                </m:r>
              </m:sup>
            </m:sSubSup>
          </m:e>
        </m:d>
      </m:oMath>
      <w:r w:rsidRPr="00A93A6F">
        <w:t xml:space="preserve"> range. For instance, when a </w:t>
      </w:r>
      <m:oMath>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G</m:t>
                </m:r>
              </m:e>
              <m:sub>
                <m:r>
                  <w:rPr>
                    <w:rFonts w:ascii="Cambria Math" w:hAnsi="Cambria Math"/>
                  </w:rPr>
                  <m:t>s</m:t>
                </m:r>
              </m:sub>
              <m:sup>
                <m:r>
                  <w:rPr>
                    <w:rFonts w:ascii="Cambria Math" w:hAnsi="Cambria Math"/>
                  </w:rPr>
                  <m:t>*</m:t>
                </m:r>
              </m:sup>
            </m:sSubSup>
          </m:e>
        </m:d>
        <m:r>
          <w:rPr>
            <w:rFonts w:ascii="Cambria Math" w:hAnsi="Cambria Math"/>
          </w:rPr>
          <m:t>/</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G</m:t>
                </m:r>
              </m:e>
              <m:sub>
                <m:r>
                  <w:rPr>
                    <w:rFonts w:ascii="Cambria Math" w:hAnsi="Cambria Math"/>
                  </w:rPr>
                  <m:t>c</m:t>
                </m:r>
              </m:sub>
              <m:sup>
                <m:r>
                  <w:rPr>
                    <w:rFonts w:ascii="Cambria Math" w:hAnsi="Cambria Math"/>
                  </w:rPr>
                  <m:t>*</m:t>
                </m:r>
              </m:sup>
            </m:sSubSup>
          </m:e>
        </m:d>
      </m:oMath>
      <w:r w:rsidRPr="00A93A6F">
        <w:t xml:space="preserve"> of 1.09 was used, the fibrillar structures broke, meaning that </w:t>
      </w:r>
      <m:oMath>
        <m:sSub>
          <m:sSubPr>
            <m:ctrlPr>
              <w:rPr>
                <w:rFonts w:ascii="Cambria Math" w:hAnsi="Cambria Math"/>
              </w:rPr>
            </m:ctrlPr>
          </m:sSubPr>
          <m:e>
            <m:r>
              <w:rPr>
                <w:rFonts w:ascii="Cambria Math" w:hAnsi="Cambria Math"/>
              </w:rPr>
              <m:t>σ</m:t>
            </m:r>
          </m:e>
          <m:sub>
            <m:r>
              <w:rPr>
                <w:rFonts w:ascii="Cambria Math" w:hAnsi="Cambria Math"/>
              </w:rPr>
              <m:t>app</m:t>
            </m:r>
          </m:sub>
        </m:sSub>
        <m:r>
          <w:rPr>
            <w:rFonts w:ascii="Cambria Math" w:hAnsi="Cambria Math"/>
          </w:rPr>
          <m:t xml:space="preserve">≫ </m:t>
        </m:r>
        <m:sSub>
          <m:sSubPr>
            <m:ctrlPr>
              <w:rPr>
                <w:rFonts w:ascii="Cambria Math" w:hAnsi="Cambria Math"/>
              </w:rPr>
            </m:ctrlPr>
          </m:sSubPr>
          <m:e>
            <m:r>
              <w:rPr>
                <w:rFonts w:ascii="Cambria Math" w:hAnsi="Cambria Math"/>
              </w:rPr>
              <m:t>σ</m:t>
            </m:r>
          </m:e>
          <m:sub>
            <m:r>
              <w:rPr>
                <w:rFonts w:ascii="Cambria Math" w:hAnsi="Cambria Math"/>
              </w:rPr>
              <m:t>yield</m:t>
            </m:r>
          </m:sub>
        </m:sSub>
        <m:d>
          <m:dPr>
            <m:ctrlPr>
              <w:rPr>
                <w:rFonts w:ascii="Cambria Math" w:hAnsi="Cambria Math"/>
                <w:i/>
              </w:rPr>
            </m:ctrlPr>
          </m:dPr>
          <m:e>
            <m:r>
              <w:rPr>
                <w:rFonts w:ascii="Cambria Math" w:hAnsi="Cambria Math"/>
              </w:rPr>
              <m:t>t</m:t>
            </m:r>
          </m:e>
        </m:d>
      </m:oMath>
      <w:r w:rsidRPr="00A93A6F">
        <w:t>. This is apparent from the steady increase of strain through time after applying the stress (</w:t>
      </w:r>
      <w:r w:rsidRPr="00A93A6F">
        <w:rPr>
          <w:b/>
        </w:rPr>
        <w:t>Figure 6.a</w:t>
      </w:r>
      <w:r w:rsidRPr="00A93A6F">
        <w:t>). Under such conditions, the system experiences a continuous flow during gelation, which results in a heterogeneous network of partially formed collagen fiber clusters (</w:t>
      </w:r>
      <w:r w:rsidRPr="00A93A6F">
        <w:rPr>
          <w:b/>
        </w:rPr>
        <w:t>Figure 6.e</w:t>
      </w:r>
      <w:r w:rsidRPr="00A93A6F">
        <w:t>). This behavior is similar to the inhomogeneities that occur when applying a constant strain rate to the system (</w:t>
      </w:r>
      <w:r w:rsidRPr="00A93A6F">
        <w:rPr>
          <w:b/>
        </w:rPr>
        <w:t>Figure S</w:t>
      </w:r>
      <w:r w:rsidR="000757E9" w:rsidRPr="00A93A6F">
        <w:rPr>
          <w:b/>
        </w:rPr>
        <w:t>6</w:t>
      </w:r>
      <w:r w:rsidRPr="00A93A6F">
        <w:t xml:space="preserve">) </w:t>
      </w:r>
      <w:r w:rsidRPr="00A93A6F">
        <w:fldChar w:fldCharType="begin" w:fldLock="1"/>
      </w:r>
      <w:r w:rsidR="00ED1620" w:rsidRPr="00A93A6F">
        <w:instrText>ADDIN CSL_CITATION { "citationItems" : [ { "id" : "ITEM-1", "itemData" : { "DOI" : "10.1103/PhysRevLett.92.048302", "ISSN" : "10797114", "PMID" : "14995413", "abstract" : "We report an elastic instability associated with flow-induced clustering in semidilute non-Brownian colloidal nanotubes. Rheo-optical measurements are compared with simulations of mechanical flocculation in sheared fiber suspensions, and the evolving structure is characterized as a function of confinement and shear stress. The transient rheology is correlated with the evolution of highly elastic vorticity-aligned aggregates, with the underlying instability being somewhat ubiquitous in complex fluids. \u00a9 2004 The American Physical Society.", "author" : [ { "dropping-particle" : "", "family" : "Lin-Gibson", "given" : "S.", "non-dropping-particle" : "", "parse-names" : false, "suffix" : "" }, { "dropping-particle" : "", "family" : "Pathak", "given" : "J. A.", "non-dropping-particle" : "", "parse-names" : false, "suffix" : "" }, { "dropping-particle" : "", "family" : "Grulke", "given" : "E. A.", "non-dropping-particle" : "", "parse-names" : false, "suffix" : "" }, { "dropping-particle" : "", "family" : "Wang", "given" : "H.", "non-dropping-particle" : "", "parse-names" : false, "suffix" : "" }, { "dropping-particle" : "", "family" : "Hobbie", "given" : "E. K.", "non-dropping-particle" : "", "parse-names" : false, "suffix" : "" } ], "container-title" : "Physical Review Letters", "id" : "ITEM-1", "issue" : "4", "issued" : { "date-parts" : [ [ "2004" ] ] }, "page" : "4", "publisher" : "Phys Rev Lett", "title" : "Elastic Flow Instability in Nanotube Suspensions", "type" : "article-journal", "volume" : "92" }, "uris" : [ "http://www.mendeley.com/documents/?uuid=a68bfb5f-b44e-3d9f-a277-f0cd5e7b32d3" ] } ], "mendeley" : { "formattedCitation" : "[40]", "plainTextFormattedCitation" : "[40]", "previouslyFormattedCitation" : "[40]" }, "properties" : { "noteIndex" : 0 }, "schema" : "https://github.com/citation-style-language/schema/raw/master/csl-citation.json" }</w:instrText>
      </w:r>
      <w:r w:rsidRPr="00A93A6F">
        <w:fldChar w:fldCharType="separate"/>
      </w:r>
      <w:r w:rsidR="00ED1620" w:rsidRPr="00A93A6F">
        <w:rPr>
          <w:noProof/>
        </w:rPr>
        <w:t>[40]</w:t>
      </w:r>
      <w:r w:rsidRPr="00A93A6F">
        <w:fldChar w:fldCharType="end"/>
      </w:r>
      <w:r w:rsidRPr="00A93A6F">
        <w:fldChar w:fldCharType="begin" w:fldLock="1"/>
      </w:r>
      <w:r w:rsidR="00ED1620" w:rsidRPr="00A93A6F">
        <w:instrText>ADDIN CSL_CITATION { "citationItems" : [ { "id" : "ITEM-1", "itemData" : { "DOI" : "10.1039/d0sm01576h", "ISSN" : "17446848", "PMID" : "33300930", "abstract" : "A combination of rheology, optical microscopy and computer simulations was used to investigate the microstructural changes of a semi-dilute suspension of attractive rigid rods in an imposed shear flow. The aim is to understand the relation of the microstructure with the viscoelastic response, and the yielding and flow behaviour in different shear regimes of gels built from rodlike colloids. A semi-dilute suspension of micron sized, rodlike silica particles suspended in 11 M CsCl salt solution was used as a model system for attractive rods\u2019 gel. Upon application of steady shear the gel microstructure rearranges in different states and exhibits flow instabilities depending on shear rate, attraction strength, volume fraction and geometrical confinement. At low rod volume fractions, the suspension forms large, vorticity aligned, particle rich flocs that roll in the flow-vorticity plane, an effect that is due to an interplay between hydrodynamic interactions and geometrical confinement as suggested by computer simulations. Experimental data allow the creation of a state diagram, as a function of volume fraction and shear rates, identifying regimes of stable (or unstable) floc formation and of homogeneous gel or broken clusters. The transition is related to dimensionless Mason number, defined as the ratio of shear forces to interparticle attractive force.", "author" : [ { "dropping-particle" : "", "family" : "Das", "given" : "Mohan", "non-dropping-particle" : "", "parse-names" : false, "suffix" : "" }, { "dropping-particle" : "", "family" : "Chambon", "given" : "Lucille", "non-dropping-particle" : "", "parse-names" : false, "suffix" : "" }, { "dropping-particle" : "", "family" : "Varga", "given" : "Zsigmond", "non-dropping-particle" : "", "parse-names" : false, "suffix" : "" }, { "dropping-particle" : "", "family" : "Vamvakaki", "given" : "Maria", "non-dropping-particle" : "", "parse-names" : false, "suffix" : "" }, { "dropping-particle" : "", "family" : "Swan", "given" : "James W.", "non-dropping-particle" : "", "parse-names" : false, "suffix" : "" }, { "dropping-particle" : "", "family" : "Petekidis", "given" : "George", "non-dropping-particle" : "", "parse-names" : false, "suffix" : "" } ], "container-title" : "Soft Matter", "id" : "ITEM-1", "issue" : "5", "issued" : { "date-parts" : [ [ "2021", "2", "7" ] ] }, "page" : "1232-1245", "publisher" : "Royal Society of Chemistry", "title" : "Shear driven vorticity aligned flocs in a suspension of attractive rigid rods", "type" : "article-journal", "volume" : "17" }, "uris" : [ "http://www.mendeley.com/documents/?uuid=fb75e15d-2dfd-386f-93cc-a03511c27ee2" ] } ], "mendeley" : { "formattedCitation" : "[41]", "plainTextFormattedCitation" : "[41]", "previouslyFormattedCitation" : "[41]" }, "properties" : { "noteIndex" : 0 }, "schema" : "https://github.com/citation-style-language/schema/raw/master/csl-citation.json" }</w:instrText>
      </w:r>
      <w:r w:rsidRPr="00A93A6F">
        <w:fldChar w:fldCharType="separate"/>
      </w:r>
      <w:r w:rsidR="00ED1620" w:rsidRPr="00A93A6F">
        <w:rPr>
          <w:noProof/>
        </w:rPr>
        <w:t>[41]</w:t>
      </w:r>
      <w:r w:rsidRPr="00A93A6F">
        <w:fldChar w:fldCharType="end"/>
      </w:r>
      <w:r w:rsidRPr="00A93A6F">
        <w:t>.</w:t>
      </w:r>
    </w:p>
    <w:p w14:paraId="24E20ACC" w14:textId="11D3F11A" w:rsidR="00437BE5" w:rsidRPr="00A93A6F" w:rsidRDefault="00437BE5" w:rsidP="00437BE5">
      <w:pPr>
        <w:pStyle w:val="Legend"/>
        <w:spacing w:line="360" w:lineRule="auto"/>
        <w:jc w:val="both"/>
      </w:pPr>
      <w:r w:rsidRPr="00A93A6F">
        <w:t xml:space="preserve">When </w:t>
      </w:r>
      <m:oMath>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G</m:t>
                </m:r>
              </m:e>
              <m:sub>
                <m:r>
                  <w:rPr>
                    <w:rFonts w:ascii="Cambria Math" w:hAnsi="Cambria Math"/>
                  </w:rPr>
                  <m:t>s</m:t>
                </m:r>
              </m:sub>
              <m:sup>
                <m:r>
                  <w:rPr>
                    <w:rFonts w:ascii="Cambria Math" w:hAnsi="Cambria Math"/>
                  </w:rPr>
                  <m:t>*</m:t>
                </m:r>
              </m:sup>
            </m:sSubSup>
          </m:e>
        </m:d>
        <m:r>
          <w:rPr>
            <w:rFonts w:ascii="Cambria Math" w:hAnsi="Cambria Math"/>
          </w:rPr>
          <m:t>/</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G</m:t>
                </m:r>
              </m:e>
              <m:sub>
                <m:r>
                  <w:rPr>
                    <w:rFonts w:ascii="Cambria Math" w:hAnsi="Cambria Math"/>
                  </w:rPr>
                  <m:t>c</m:t>
                </m:r>
              </m:sub>
              <m:sup>
                <m:r>
                  <w:rPr>
                    <w:rFonts w:ascii="Cambria Math" w:hAnsi="Cambria Math"/>
                  </w:rPr>
                  <m:t>*</m:t>
                </m:r>
              </m:sup>
            </m:sSubSup>
          </m:e>
        </m:d>
      </m:oMath>
      <w:r w:rsidRPr="00A93A6F">
        <w:t xml:space="preserve"> was increased to 1.11, the strain profile initially stabilized before increasing again, implying that the structure fragmented (</w:t>
      </w:r>
      <w:r w:rsidRPr="00A93A6F">
        <w:rPr>
          <w:b/>
        </w:rPr>
        <w:t>Figure 6.b</w:t>
      </w:r>
      <w:r w:rsidRPr="00A93A6F">
        <w:t xml:space="preserve">). Afterwards, the system was allowed to recover, by removing </w:t>
      </w:r>
      <m:oMath>
        <m:sSub>
          <m:sSubPr>
            <m:ctrlPr>
              <w:rPr>
                <w:rFonts w:ascii="Cambria Math" w:hAnsi="Cambria Math"/>
              </w:rPr>
            </m:ctrlPr>
          </m:sSubPr>
          <m:e>
            <m:r>
              <w:rPr>
                <w:rFonts w:ascii="Cambria Math" w:hAnsi="Cambria Math"/>
              </w:rPr>
              <m:t>σ</m:t>
            </m:r>
          </m:e>
          <m:sub>
            <m:r>
              <w:rPr>
                <w:rFonts w:ascii="Cambria Math" w:hAnsi="Cambria Math"/>
              </w:rPr>
              <m:t>app</m:t>
            </m:r>
          </m:sub>
        </m:sSub>
      </m:oMath>
      <w:r w:rsidRPr="00A93A6F">
        <w:t xml:space="preserve"> when the strain reached 1000 %, allowing the remaining network to develop in the absence of flow (comparable to applying a constant strain of 1000 %). The resulting structure only showed regions of significant alignment close to the rotating surface (</w:t>
      </w:r>
      <w:r w:rsidR="00481187" w:rsidRPr="00A93A6F">
        <w:rPr>
          <w:b/>
        </w:rPr>
        <w:t>Figure S</w:t>
      </w:r>
      <w:r w:rsidR="000757E9" w:rsidRPr="00A93A6F">
        <w:rPr>
          <w:b/>
        </w:rPr>
        <w:t>7</w:t>
      </w:r>
      <w:r w:rsidRPr="00A93A6F">
        <w:rPr>
          <w:b/>
        </w:rPr>
        <w:t>.f</w:t>
      </w:r>
      <w:r w:rsidRPr="00A93A6F">
        <w:t>). The corresponding network morphology consisted of inhomogeneous fiber densities over larger scales (</w:t>
      </w:r>
      <w:r w:rsidRPr="00A93A6F">
        <w:rPr>
          <w:b/>
        </w:rPr>
        <w:t>Figure 6.f</w:t>
      </w:r>
      <w:r w:rsidRPr="00A93A6F">
        <w:t>). Thereby, one can conclude that the top layer (</w:t>
      </w:r>
      <m:oMath>
        <m:r>
          <w:rPr>
            <w:rFonts w:ascii="Cambria Math" w:hAnsi="Cambria Math"/>
          </w:rPr>
          <m:t>~</m:t>
        </m:r>
      </m:oMath>
      <w:r w:rsidRPr="00A93A6F">
        <w:t xml:space="preserve"> 50 </w:t>
      </w:r>
      <m:oMath>
        <m:r>
          <w:rPr>
            <w:rFonts w:ascii="Cambria Math" w:hAnsi="Cambria Math"/>
          </w:rPr>
          <m:t>μ</m:t>
        </m:r>
      </m:oMath>
      <w:r w:rsidRPr="00A93A6F">
        <w:t>m) of the system was fractured when the stress was applied. This behavior indicates that applying a constant strain to the material (instead of a constant stress) results in inhomogeneous alignment in 3D gels.</w:t>
      </w:r>
    </w:p>
    <w:p w14:paraId="1AD0B0F7" w14:textId="2D559918" w:rsidR="0089091F" w:rsidRPr="00A93A6F" w:rsidRDefault="00437BE5" w:rsidP="00437BE5">
      <w:pPr>
        <w:pStyle w:val="Legend"/>
        <w:spacing w:line="360" w:lineRule="auto"/>
        <w:jc w:val="both"/>
      </w:pPr>
      <w:r w:rsidRPr="00A93A6F">
        <w:t xml:space="preserve">On the other hand, in the extreme case where the stress was applied after </w:t>
      </w:r>
      <m:oMath>
        <m:d>
          <m:dPr>
            <m:begChr m:val="|"/>
            <m:endChr m:val="|"/>
            <m:ctrlPr>
              <w:rPr>
                <w:rFonts w:ascii="Cambria Math" w:hAnsi="Cambria Math"/>
              </w:rPr>
            </m:ctrlPr>
          </m:dPr>
          <m:e>
            <m:sSup>
              <m:sSupPr>
                <m:ctrlPr>
                  <w:rPr>
                    <w:rFonts w:ascii="Cambria Math" w:hAnsi="Cambria Math"/>
                    <w:i/>
                  </w:rPr>
                </m:ctrlPr>
              </m:sSupPr>
              <m:e>
                <m:r>
                  <w:rPr>
                    <w:rFonts w:ascii="Cambria Math" w:hAnsi="Cambria Math"/>
                  </w:rPr>
                  <m:t>G</m:t>
                </m:r>
              </m:e>
              <m:sup>
                <m:r>
                  <w:rPr>
                    <w:rFonts w:ascii="Cambria Math" w:hAnsi="Cambria Math"/>
                  </w:rPr>
                  <m:t>*</m:t>
                </m:r>
              </m:sup>
            </m:sSup>
            <m:d>
              <m:dPr>
                <m:ctrlPr>
                  <w:rPr>
                    <w:rFonts w:ascii="Cambria Math" w:hAnsi="Cambria Math"/>
                    <w:i/>
                  </w:rPr>
                </m:ctrlPr>
              </m:dPr>
              <m:e>
                <m:r>
                  <w:rPr>
                    <w:rFonts w:ascii="Cambria Math" w:hAnsi="Cambria Math"/>
                  </w:rPr>
                  <m:t>t</m:t>
                </m:r>
              </m:e>
            </m:d>
          </m:e>
        </m:d>
      </m:oMath>
      <w:r w:rsidRPr="00A93A6F">
        <w:t xml:space="preserve"> reached its steady-state value (</w:t>
      </w:r>
      <m:oMath>
        <m:r>
          <w:rPr>
            <w:rFonts w:ascii="Cambria Math" w:hAnsi="Cambria Math"/>
          </w:rPr>
          <m:t>t</m:t>
        </m:r>
      </m:oMath>
      <w:r w:rsidRPr="00A93A6F">
        <w:t xml:space="preserve"> </w:t>
      </w:r>
      <m:oMath>
        <m:r>
          <w:rPr>
            <w:rFonts w:ascii="Cambria Math" w:hAnsi="Cambria Math"/>
          </w:rPr>
          <m:t>~</m:t>
        </m:r>
      </m:oMath>
      <w:r w:rsidRPr="00A93A6F">
        <w:t xml:space="preserve"> 65 min), insignificant deformation (</w:t>
      </w:r>
      <m:oMath>
        <m:sSub>
          <m:sSubPr>
            <m:ctrlPr>
              <w:rPr>
                <w:rFonts w:ascii="Cambria Math" w:hAnsi="Cambria Math"/>
              </w:rPr>
            </m:ctrlPr>
          </m:sSubPr>
          <m:e>
            <m:r>
              <w:rPr>
                <w:rFonts w:ascii="Cambria Math" w:hAnsi="Cambria Math"/>
              </w:rPr>
              <m:t>γ</m:t>
            </m:r>
          </m:e>
          <m:sub>
            <m:r>
              <w:rPr>
                <w:rFonts w:ascii="Cambria Math" w:hAnsi="Cambria Math"/>
              </w:rPr>
              <m:t>ind</m:t>
            </m:r>
          </m:sub>
        </m:sSub>
        <m:r>
          <w:rPr>
            <w:rFonts w:ascii="Cambria Math" w:hAnsi="Cambria Math"/>
          </w:rPr>
          <m:t xml:space="preserve"> ~</m:t>
        </m:r>
      </m:oMath>
      <w:r w:rsidRPr="00A93A6F">
        <w:t xml:space="preserve"> 2.5 %) was observed. Furthermore, this deformation became negligible when the stress was removed (</w:t>
      </w:r>
      <w:r w:rsidRPr="00A93A6F">
        <w:rPr>
          <w:b/>
        </w:rPr>
        <w:t>Figure 6.d</w:t>
      </w:r>
      <w:r w:rsidRPr="00A93A6F">
        <w:t>). Consequently, the network morphology remained unchanged compared to quiescent samples (</w:t>
      </w:r>
      <w:r w:rsidRPr="00A93A6F">
        <w:rPr>
          <w:b/>
        </w:rPr>
        <w:t>Figure 6.h</w:t>
      </w:r>
      <w:r w:rsidRPr="00A93A6F">
        <w:t xml:space="preserve">). This means that under such conditions, maintaining the alignment requires the continuous application of external stress, which is not practical. Only for </w:t>
      </w:r>
      <m:oMath>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G</m:t>
                </m:r>
              </m:e>
              <m:sub>
                <m:r>
                  <w:rPr>
                    <w:rFonts w:ascii="Cambria Math" w:hAnsi="Cambria Math"/>
                  </w:rPr>
                  <m:t>s</m:t>
                </m:r>
              </m:sub>
              <m:sup>
                <m:r>
                  <w:rPr>
                    <w:rFonts w:ascii="Cambria Math" w:hAnsi="Cambria Math"/>
                  </w:rPr>
                  <m:t>*</m:t>
                </m:r>
              </m:sup>
            </m:sSubSup>
          </m:e>
        </m:d>
        <m:r>
          <w:rPr>
            <w:rFonts w:ascii="Cambria Math" w:hAnsi="Cambria Math"/>
          </w:rPr>
          <m:t>/</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G</m:t>
                </m:r>
              </m:e>
              <m:sub>
                <m:r>
                  <w:rPr>
                    <w:rFonts w:ascii="Cambria Math" w:hAnsi="Cambria Math"/>
                  </w:rPr>
                  <m:t>c</m:t>
                </m:r>
              </m:sub>
              <m:sup>
                <m:r>
                  <w:rPr>
                    <w:rFonts w:ascii="Cambria Math" w:hAnsi="Cambria Math"/>
                  </w:rPr>
                  <m:t>*</m:t>
                </m:r>
              </m:sup>
            </m:sSubSup>
          </m:e>
        </m:d>
      </m:oMath>
      <w:r w:rsidRPr="00A93A6F">
        <w:t xml:space="preserve"> values between these two extreme cases, significant deformation can be obtained in a reproducible fashion while preserving the structural integrity of the system (</w:t>
      </w:r>
      <w:r w:rsidRPr="00A93A6F">
        <w:rPr>
          <w:b/>
          <w:bCs/>
        </w:rPr>
        <w:t>Figure 6.c</w:t>
      </w:r>
      <w:r w:rsidRPr="00A93A6F">
        <w:t xml:space="preserve">). </w:t>
      </w:r>
    </w:p>
    <w:p w14:paraId="371147D5" w14:textId="28C199A5" w:rsidR="00437BE5" w:rsidRPr="00A93A6F" w:rsidRDefault="006B0A70" w:rsidP="00437BE5">
      <w:pPr>
        <w:pStyle w:val="Legend"/>
        <w:spacing w:line="360" w:lineRule="auto"/>
        <w:jc w:val="both"/>
      </w:pPr>
      <w:r w:rsidRPr="00A93A6F">
        <w:rPr>
          <w:noProof/>
          <w:lang w:val="nl-BE"/>
        </w:rPr>
        <w:lastRenderedPageBreak/>
        <w:drawing>
          <wp:inline distT="0" distB="0" distL="0" distR="0" wp14:anchorId="263018D3" wp14:editId="673AE075">
            <wp:extent cx="5760720" cy="2831465"/>
            <wp:effectExtent l="0" t="0" r="0" b="6985"/>
            <wp:docPr id="15" name="Picture 15" descr="G:\Mijn Drive\PHDdrive\RheoPaper2021\Figures\Finished\Fi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Mijn Drive\PHDdrive\RheoPaper2021\Figures\Finished\Fig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831465"/>
                    </a:xfrm>
                    <a:prstGeom prst="rect">
                      <a:avLst/>
                    </a:prstGeom>
                    <a:noFill/>
                    <a:ln>
                      <a:noFill/>
                    </a:ln>
                  </pic:spPr>
                </pic:pic>
              </a:graphicData>
            </a:graphic>
          </wp:inline>
        </w:drawing>
      </w:r>
    </w:p>
    <w:p w14:paraId="2CFD83A2" w14:textId="77777777" w:rsidR="00437BE5" w:rsidRPr="00A93A6F" w:rsidRDefault="00437BE5" w:rsidP="00437BE5">
      <w:pPr>
        <w:pStyle w:val="Legend"/>
        <w:spacing w:line="360" w:lineRule="auto"/>
        <w:jc w:val="both"/>
      </w:pPr>
      <w:r w:rsidRPr="00A93A6F">
        <w:rPr>
          <w:b/>
        </w:rPr>
        <w:t>Figure 6.</w:t>
      </w:r>
      <w:r w:rsidRPr="00A93A6F">
        <w:t xml:space="preserve"> </w:t>
      </w:r>
      <w:r w:rsidRPr="00A93A6F">
        <w:rPr>
          <w:b/>
        </w:rPr>
        <w:t>Effect of the initiation point (</w:t>
      </w:r>
      <m:oMath>
        <m:d>
          <m:dPr>
            <m:begChr m:val="|"/>
            <m:endChr m:val="|"/>
            <m:ctrlPr>
              <w:rPr>
                <w:rFonts w:ascii="Cambria Math" w:hAnsi="Cambria Math"/>
                <w:b/>
                <w:lang w:val="de-DE"/>
              </w:rPr>
            </m:ctrlPr>
          </m:dPr>
          <m:e>
            <m:sSubSup>
              <m:sSubSupPr>
                <m:ctrlPr>
                  <w:rPr>
                    <w:rFonts w:ascii="Cambria Math" w:hAnsi="Cambria Math"/>
                    <w:b/>
                    <w:lang w:val="de-DE"/>
                  </w:rPr>
                </m:ctrlPr>
              </m:sSubSupPr>
              <m:e>
                <m:r>
                  <m:rPr>
                    <m:sty m:val="bi"/>
                  </m:rPr>
                  <w:rPr>
                    <w:rFonts w:ascii="Cambria Math" w:hAnsi="Cambria Math"/>
                    <w:lang w:val="de-DE"/>
                  </w:rPr>
                  <m:t>G</m:t>
                </m:r>
              </m:e>
              <m:sub>
                <m:r>
                  <m:rPr>
                    <m:sty m:val="bi"/>
                  </m:rPr>
                  <w:rPr>
                    <w:rFonts w:ascii="Cambria Math" w:hAnsi="Cambria Math"/>
                    <w:lang w:val="de-DE"/>
                  </w:rPr>
                  <m:t>s</m:t>
                </m:r>
              </m:sub>
              <m:sup>
                <m:r>
                  <m:rPr>
                    <m:sty m:val="bi"/>
                  </m:rPr>
                  <w:rPr>
                    <w:rFonts w:ascii="Cambria Math" w:hAnsi="Cambria Math"/>
                  </w:rPr>
                  <m:t>*</m:t>
                </m:r>
              </m:sup>
            </m:sSubSup>
          </m:e>
        </m:d>
      </m:oMath>
      <w:r w:rsidRPr="00A93A6F">
        <w:rPr>
          <w:b/>
        </w:rPr>
        <w:t>) on the induced microstructure.</w:t>
      </w:r>
      <w:r w:rsidRPr="00A93A6F">
        <w:t xml:space="preserve"> (a-d) Rheological strain profiles and (e-h) visualized network morphologies using SHG microscopy. (a and b) Breaking of collagen structure upon applying rotational stress with (e and f) the resulting network morphology of the ruptured structures, respectively. (c) Appropriately chosen </w:t>
      </w:r>
      <m:oMath>
        <m:d>
          <m:dPr>
            <m:begChr m:val="|"/>
            <m:endChr m:val="|"/>
            <m:ctrlPr>
              <w:rPr>
                <w:rFonts w:ascii="Cambria Math" w:hAnsi="Cambria Math"/>
                <w:lang w:val="de-DE"/>
              </w:rPr>
            </m:ctrlPr>
          </m:dPr>
          <m:e>
            <m:sSubSup>
              <m:sSubSupPr>
                <m:ctrlPr>
                  <w:rPr>
                    <w:rFonts w:ascii="Cambria Math" w:hAnsi="Cambria Math"/>
                    <w:lang w:val="de-DE"/>
                  </w:rPr>
                </m:ctrlPr>
              </m:sSubSupPr>
              <m:e>
                <m:r>
                  <w:rPr>
                    <w:rFonts w:ascii="Cambria Math" w:hAnsi="Cambria Math"/>
                    <w:lang w:val="de-DE"/>
                  </w:rPr>
                  <m:t>G</m:t>
                </m:r>
              </m:e>
              <m:sub>
                <m:r>
                  <w:rPr>
                    <w:rFonts w:ascii="Cambria Math" w:hAnsi="Cambria Math"/>
                    <w:lang w:val="de-DE"/>
                  </w:rPr>
                  <m:t>s</m:t>
                </m:r>
              </m:sub>
              <m:sup>
                <m:r>
                  <w:rPr>
                    <w:rFonts w:ascii="Cambria Math" w:hAnsi="Cambria Math"/>
                  </w:rPr>
                  <m:t>*</m:t>
                </m:r>
              </m:sup>
            </m:sSubSup>
          </m:e>
        </m:d>
      </m:oMath>
      <w:r w:rsidRPr="00A93A6F">
        <w:t xml:space="preserve"> results in a significant induced strain (</w:t>
      </w:r>
      <m:oMath>
        <m:sSub>
          <m:sSubPr>
            <m:ctrlPr>
              <w:rPr>
                <w:rFonts w:ascii="Cambria Math" w:hAnsi="Cambria Math"/>
                <w:lang w:val="de-DE"/>
              </w:rPr>
            </m:ctrlPr>
          </m:sSubPr>
          <m:e>
            <m:r>
              <w:rPr>
                <w:rFonts w:ascii="Cambria Math" w:hAnsi="Cambria Math"/>
                <w:lang w:val="de-DE"/>
              </w:rPr>
              <m:t>γ</m:t>
            </m:r>
          </m:e>
          <m:sub>
            <m:r>
              <w:rPr>
                <w:rFonts w:ascii="Cambria Math" w:hAnsi="Cambria Math"/>
                <w:lang w:val="de-DE"/>
              </w:rPr>
              <m:t>ind</m:t>
            </m:r>
          </m:sub>
        </m:sSub>
      </m:oMath>
      <w:r w:rsidRPr="00A93A6F">
        <w:t xml:space="preserve">), and (g) the corresponding aligned network. (d) Applying stress after gelation has completed does not result in a significant </w:t>
      </w:r>
      <m:oMath>
        <m:sSub>
          <m:sSubPr>
            <m:ctrlPr>
              <w:rPr>
                <w:rFonts w:ascii="Cambria Math" w:hAnsi="Cambria Math"/>
                <w:lang w:val="de-DE"/>
              </w:rPr>
            </m:ctrlPr>
          </m:sSubPr>
          <m:e>
            <m:r>
              <w:rPr>
                <w:rFonts w:ascii="Cambria Math" w:hAnsi="Cambria Math"/>
                <w:lang w:val="de-DE"/>
              </w:rPr>
              <m:t>γ</m:t>
            </m:r>
          </m:e>
          <m:sub>
            <m:r>
              <w:rPr>
                <w:rFonts w:ascii="Cambria Math" w:hAnsi="Cambria Math"/>
                <w:lang w:val="de-DE"/>
              </w:rPr>
              <m:t>ind</m:t>
            </m:r>
          </m:sub>
        </m:sSub>
      </m:oMath>
      <w:r w:rsidRPr="00A93A6F">
        <w:t xml:space="preserve"> after stress removal, (h) corresponding to a randomly oriented network. All displayed data are from samples formed at 27 </w:t>
      </w:r>
      <w:r w:rsidRPr="00A93A6F">
        <w:rPr>
          <w:vertAlign w:val="superscript"/>
        </w:rPr>
        <w:t>◦</w:t>
      </w:r>
      <w:r w:rsidRPr="00A93A6F">
        <w:t xml:space="preserve">C, subjected to a rotational stress of 1.5 Pa. All scale bars indicate 50 </w:t>
      </w:r>
      <m:oMath>
        <m:r>
          <w:rPr>
            <w:rFonts w:ascii="Cambria Math" w:hAnsi="Cambria Math"/>
            <w:lang w:val="de-DE"/>
          </w:rPr>
          <m:t>μ</m:t>
        </m:r>
      </m:oMath>
      <w:r w:rsidRPr="00A93A6F">
        <w:t>m.</w:t>
      </w:r>
    </w:p>
    <w:p w14:paraId="14AF9BBF" w14:textId="77777777" w:rsidR="00437BE5" w:rsidRPr="00A93A6F" w:rsidRDefault="00437BE5" w:rsidP="00437BE5">
      <w:pPr>
        <w:pStyle w:val="Legend"/>
        <w:spacing w:line="360" w:lineRule="auto"/>
        <w:jc w:val="both"/>
      </w:pPr>
    </w:p>
    <w:p w14:paraId="2FF6A336" w14:textId="77777777" w:rsidR="00437BE5" w:rsidRPr="00A93A6F" w:rsidRDefault="00437BE5" w:rsidP="00437BE5">
      <w:pPr>
        <w:pStyle w:val="Legend"/>
        <w:spacing w:line="360" w:lineRule="auto"/>
        <w:rPr>
          <w:b/>
        </w:rPr>
      </w:pPr>
      <w:r w:rsidRPr="00A93A6F">
        <w:rPr>
          <w:b/>
        </w:rPr>
        <w:t>3.4 Impact of two different gelation temperatures</w:t>
      </w:r>
    </w:p>
    <w:p w14:paraId="23E02AA2" w14:textId="5292BEF9" w:rsidR="00437BE5" w:rsidRPr="00A93A6F" w:rsidRDefault="00437BE5" w:rsidP="00437BE5">
      <w:pPr>
        <w:pStyle w:val="Legend"/>
        <w:spacing w:line="360" w:lineRule="auto"/>
        <w:jc w:val="both"/>
      </w:pPr>
      <w:r w:rsidRPr="00A93A6F">
        <w:t xml:space="preserve">To investigate the influence of the solidification temperature on the induced alignment, the same alignment procedure was conducted at 37 </w:t>
      </w:r>
      <w:r w:rsidRPr="00A93A6F">
        <w:rPr>
          <w:vertAlign w:val="superscript"/>
        </w:rPr>
        <w:t>◦</w:t>
      </w:r>
      <w:r w:rsidRPr="00A93A6F">
        <w:t xml:space="preserve">C in addition to the previously discussed experiments at 27 </w:t>
      </w:r>
      <w:r w:rsidRPr="00A93A6F">
        <w:rPr>
          <w:vertAlign w:val="superscript"/>
        </w:rPr>
        <w:t>◦</w:t>
      </w:r>
      <w:r w:rsidRPr="00A93A6F">
        <w:t>C.</w:t>
      </w:r>
      <w:r w:rsidRPr="00A93A6F" w:rsidDel="00433D0E">
        <w:t xml:space="preserve"> </w:t>
      </w:r>
      <w:r w:rsidRPr="00A93A6F">
        <w:t xml:space="preserve">As mentioned above, for samples solidified at 37 </w:t>
      </w:r>
      <w:r w:rsidRPr="00A93A6F">
        <w:rPr>
          <w:vertAlign w:val="superscript"/>
        </w:rPr>
        <w:t>◦</w:t>
      </w:r>
      <w:r w:rsidRPr="00A93A6F">
        <w:t xml:space="preserve">C, an applied stress value </w:t>
      </w:r>
      <m:oMath>
        <m:sSub>
          <m:sSubPr>
            <m:ctrlPr>
              <w:rPr>
                <w:rFonts w:ascii="Cambria Math" w:hAnsi="Cambria Math"/>
                <w:i/>
              </w:rPr>
            </m:ctrlPr>
          </m:sSubPr>
          <m:e>
            <m:r>
              <w:rPr>
                <w:rFonts w:ascii="Cambria Math" w:hAnsi="Cambria Math"/>
              </w:rPr>
              <m:t>σ</m:t>
            </m:r>
          </m:e>
          <m:sub>
            <m:r>
              <w:rPr>
                <w:rFonts w:ascii="Cambria Math" w:hAnsi="Cambria Math"/>
              </w:rPr>
              <m:t>app</m:t>
            </m:r>
          </m:sub>
        </m:sSub>
      </m:oMath>
      <w:r w:rsidRPr="00A93A6F">
        <w:t xml:space="preserve"> of 3.0 Pa was determined to be optimal, all other processing parameters being identical to the 27 </w:t>
      </w:r>
      <w:r w:rsidRPr="00A93A6F">
        <w:rPr>
          <w:vertAlign w:val="superscript"/>
        </w:rPr>
        <w:t>◦</w:t>
      </w:r>
      <w:r w:rsidRPr="00A93A6F">
        <w:t xml:space="preserve">C samples. Most notable is the difference observed in the relation between </w:t>
      </w:r>
      <m:oMath>
        <m:sSub>
          <m:sSubPr>
            <m:ctrlPr>
              <w:rPr>
                <w:rFonts w:ascii="Cambria Math" w:hAnsi="Cambria Math"/>
              </w:rPr>
            </m:ctrlPr>
          </m:sSubPr>
          <m:e>
            <m:r>
              <w:rPr>
                <w:rFonts w:ascii="Cambria Math" w:hAnsi="Cambria Math"/>
              </w:rPr>
              <m:t>γ</m:t>
            </m:r>
          </m:e>
          <m:sub>
            <m:r>
              <w:rPr>
                <w:rFonts w:ascii="Cambria Math" w:hAnsi="Cambria Math"/>
              </w:rPr>
              <m:t>ind</m:t>
            </m:r>
          </m:sub>
        </m:sSub>
      </m:oMath>
      <w:r w:rsidRPr="00A93A6F">
        <w:t xml:space="preserve"> and stiffness (</w:t>
      </w:r>
      <m:oMath>
        <m:sSup>
          <m:sSupPr>
            <m:ctrlPr>
              <w:rPr>
                <w:rFonts w:ascii="Cambria Math" w:hAnsi="Cambria Math"/>
                <w:i/>
              </w:rPr>
            </m:ctrlPr>
          </m:sSupPr>
          <m:e>
            <m:r>
              <w:rPr>
                <w:rFonts w:ascii="Cambria Math" w:hAnsi="Cambria Math"/>
              </w:rPr>
              <m:t>G</m:t>
            </m:r>
          </m:e>
          <m:sup>
            <m:r>
              <w:rPr>
                <w:rFonts w:ascii="Cambria Math" w:hAnsi="Cambria Math"/>
              </w:rPr>
              <m:t>'</m:t>
            </m:r>
          </m:sup>
        </m:sSup>
        <m:r>
          <w:rPr>
            <w:rFonts w:ascii="Cambria Math" w:hAnsi="Cambria Math"/>
          </w:rPr>
          <m:t xml:space="preserve">(ω=1 </m:t>
        </m:r>
        <m:r>
          <m:rPr>
            <m:nor/>
          </m:rPr>
          <w:rPr>
            <w:rFonts w:ascii="Cambria Math" w:hAnsi="Cambria Math"/>
          </w:rPr>
          <m:t>rad/s</m:t>
        </m:r>
        <m:r>
          <w:rPr>
            <w:rFonts w:ascii="Cambria Math" w:hAnsi="Cambria Math"/>
          </w:rPr>
          <m:t>)</m:t>
        </m:r>
      </m:oMath>
      <w:r w:rsidRPr="00A93A6F">
        <w:t>) (</w:t>
      </w:r>
      <w:r w:rsidRPr="00A93A6F">
        <w:rPr>
          <w:b/>
        </w:rPr>
        <w:t>Figure 7.a</w:t>
      </w:r>
      <w:r w:rsidRPr="00A93A6F">
        <w:t xml:space="preserve">) as a function of temperature. Samples solidifying at 37 </w:t>
      </w:r>
      <w:r w:rsidRPr="00A93A6F">
        <w:rPr>
          <w:vertAlign w:val="superscript"/>
        </w:rPr>
        <w:t>◦</w:t>
      </w:r>
      <w:r w:rsidRPr="00A93A6F">
        <w:t>C</w:t>
      </w:r>
      <w:r w:rsidRPr="00A93A6F" w:rsidDel="00433D0E">
        <w:t xml:space="preserve"> </w:t>
      </w:r>
      <w:r w:rsidRPr="00A93A6F">
        <w:t>showed a clear effective strain-hardening behavior (</w:t>
      </w:r>
      <w:r w:rsidRPr="00A93A6F">
        <w:rPr>
          <w:i/>
          <w:iCs/>
        </w:rPr>
        <w:t>i.e.</w:t>
      </w:r>
      <w:r w:rsidRPr="00A93A6F">
        <w:rPr>
          <w:iCs/>
        </w:rPr>
        <w:t>, a</w:t>
      </w:r>
      <w:r w:rsidRPr="00A93A6F">
        <w:rPr>
          <w:i/>
        </w:rPr>
        <w:t xml:space="preserve"> </w:t>
      </w:r>
      <w:r w:rsidRPr="00A93A6F">
        <w:t xml:space="preserve">positive correlation between stiffness and </w:t>
      </w:r>
      <m:oMath>
        <m:sSub>
          <m:sSubPr>
            <m:ctrlPr>
              <w:rPr>
                <w:rFonts w:ascii="Cambria Math" w:hAnsi="Cambria Math"/>
                <w:i/>
              </w:rPr>
            </m:ctrlPr>
          </m:sSubPr>
          <m:e>
            <m:r>
              <w:rPr>
                <w:rFonts w:ascii="Cambria Math" w:hAnsi="Cambria Math"/>
              </w:rPr>
              <m:t>γ</m:t>
            </m:r>
          </m:e>
          <m:sub>
            <m:r>
              <w:rPr>
                <w:rFonts w:ascii="Cambria Math" w:hAnsi="Cambria Math"/>
              </w:rPr>
              <m:t>ind</m:t>
            </m:r>
          </m:sub>
        </m:sSub>
      </m:oMath>
      <w:r w:rsidRPr="00A93A6F">
        <w:t xml:space="preserve">), while at 27 </w:t>
      </w:r>
      <w:r w:rsidRPr="00A93A6F">
        <w:rPr>
          <w:vertAlign w:val="superscript"/>
        </w:rPr>
        <w:t>◦</w:t>
      </w:r>
      <w:r w:rsidRPr="00A93A6F">
        <w:t>C, strain-softening occurred (</w:t>
      </w:r>
      <w:r w:rsidRPr="00A93A6F">
        <w:rPr>
          <w:i/>
          <w:iCs/>
        </w:rPr>
        <w:t>i.e.</w:t>
      </w:r>
      <w:r w:rsidRPr="00A93A6F">
        <w:rPr>
          <w:iCs/>
        </w:rPr>
        <w:t xml:space="preserve">, a </w:t>
      </w:r>
      <w:r w:rsidRPr="00A93A6F">
        <w:t xml:space="preserve">negative correlation between stiffness and </w:t>
      </w:r>
      <m:oMath>
        <m:sSub>
          <m:sSubPr>
            <m:ctrlPr>
              <w:rPr>
                <w:rFonts w:ascii="Cambria Math" w:hAnsi="Cambria Math"/>
                <w:i/>
              </w:rPr>
            </m:ctrlPr>
          </m:sSubPr>
          <m:e>
            <m:r>
              <w:rPr>
                <w:rFonts w:ascii="Cambria Math" w:hAnsi="Cambria Math"/>
              </w:rPr>
              <m:t>γ</m:t>
            </m:r>
          </m:e>
          <m:sub>
            <m:r>
              <w:rPr>
                <w:rFonts w:ascii="Cambria Math" w:hAnsi="Cambria Math"/>
              </w:rPr>
              <m:t>ind</m:t>
            </m:r>
          </m:sub>
        </m:sSub>
      </m:oMath>
      <w:r w:rsidR="00756C8E" w:rsidRPr="00A93A6F">
        <w:t xml:space="preserve">) </w:t>
      </w:r>
      <w:r w:rsidRPr="00A93A6F">
        <w:t>in addition to an overall higher modulus. Secondly, looking at the strain-ordering profiles (</w:t>
      </w:r>
      <w:r w:rsidRPr="00A93A6F">
        <w:rPr>
          <w:b/>
        </w:rPr>
        <w:t>Figure 7.b</w:t>
      </w:r>
      <w:r w:rsidRPr="00A93A6F">
        <w:t xml:space="preserve">), it is clear that systems solidifying at lower temperatures show significantly higher order than the ones exposed to the physiological 37 </w:t>
      </w:r>
      <w:r w:rsidRPr="00A93A6F">
        <w:rPr>
          <w:vertAlign w:val="superscript"/>
        </w:rPr>
        <w:t>◦</w:t>
      </w:r>
      <w:r w:rsidRPr="00A93A6F">
        <w:t xml:space="preserve">C for the same magnitude of </w:t>
      </w:r>
      <m:oMath>
        <m:sSub>
          <m:sSubPr>
            <m:ctrlPr>
              <w:rPr>
                <w:rFonts w:ascii="Cambria Math" w:hAnsi="Cambria Math"/>
              </w:rPr>
            </m:ctrlPr>
          </m:sSubPr>
          <m:e>
            <m:r>
              <w:rPr>
                <w:rFonts w:ascii="Cambria Math" w:hAnsi="Cambria Math"/>
              </w:rPr>
              <m:t>γ</m:t>
            </m:r>
          </m:e>
          <m:sub>
            <m:r>
              <w:rPr>
                <w:rFonts w:ascii="Cambria Math" w:hAnsi="Cambria Math"/>
              </w:rPr>
              <m:t>ind</m:t>
            </m:r>
          </m:sub>
        </m:sSub>
      </m:oMath>
      <w:r w:rsidRPr="00A93A6F">
        <w:t xml:space="preserve">. Furthermore, the network morphology obtained differs between </w:t>
      </w:r>
      <w:r w:rsidRPr="00A93A6F">
        <w:lastRenderedPageBreak/>
        <w:t>the two conditions, with thicker fiber bundles when the network forms at a lower temperature (</w:t>
      </w:r>
      <w:r w:rsidRPr="00A93A6F">
        <w:rPr>
          <w:b/>
        </w:rPr>
        <w:t xml:space="preserve">Figure 7.c </w:t>
      </w:r>
      <w:r w:rsidRPr="00A93A6F">
        <w:rPr>
          <w:bCs/>
        </w:rPr>
        <w:t>and</w:t>
      </w:r>
      <w:r w:rsidRPr="00A93A6F">
        <w:rPr>
          <w:b/>
        </w:rPr>
        <w:t xml:space="preserve"> d</w:t>
      </w:r>
      <w:r w:rsidRPr="00A93A6F">
        <w:t xml:space="preserve">). An extra benefit to performing the procedure at temperatures below 37 </w:t>
      </w:r>
      <w:r w:rsidRPr="00A93A6F">
        <w:rPr>
          <w:vertAlign w:val="superscript"/>
        </w:rPr>
        <w:t>◦</w:t>
      </w:r>
      <w:r w:rsidRPr="00A93A6F">
        <w:t xml:space="preserve">C is that in some cases increased cell survival can be obtained </w:t>
      </w:r>
      <w:r w:rsidRPr="00A93A6F">
        <w:fldChar w:fldCharType="begin" w:fldLock="1"/>
      </w:r>
      <w:r w:rsidR="00ED1620" w:rsidRPr="00A93A6F">
        <w:instrText>ADDIN CSL_CITATION { "citationItems" : [ { "id" : "ITEM-1", "itemData" : { "DOI" : "10.1016/j.bbrep.2018.04.001", "ISSN" : "24055808", "abstract" : "Assembling three-dimensional (3D) tissues from single cells necessitates the use of various advanced technological methods because higher-density tissues require numerous complex capillary structures to supply sufficient oxygen and nutrients. Accordingly, creating healthy culture conditions to support 3D cardiac tissues requires an appropriate balance between the supplied nutrients and cell metabolism. The objective of this study was to develop a simple and efficient method for low-temperature cultivation (&lt; 37 \u00b0C) that decreases cell metabolism for facilitating the buildup of 3D cardiac tissues. We created 3D cardiac tissues using cell sheet technology and analyzed the viability of the cardiac cells in low-temperature environments. To determine a method that would allow thicker 3D tissues to survive, we investigated the cardiac tissue viability under low-temperature culture processes at 20\u201333.5 \u00b0C and compared it with the viability under the standard culture process at 37 \u00b0C. Our results indicated that the standard culture process at 37 \u00b0C was unable to support higher-density myocardial tissue; however, low-temperature culture conditions maintained dense myocardial tissue and prevascularization. To investigate the efficiency of transplantation, layered cell sheets produced by the low-temperature culture process were also transplanted under the skin of nude rats. Cardiac tissue cultured at 30 \u00b0C developed denser prevascular networks than the tissue cultured at the standard temperature. Our novel findings indicate that the low-temperature process is effective for fabricating 3D tissues from high-functioning cells such as heart cells. This method should make major contributions to future clinical applications and to the field of organ engineering.", "author" : [ { "dropping-particle" : "", "family" : "Sakaguchi", "given" : "Katsuhisa", "non-dropping-particle" : "", "parse-names" : false, "suffix" : "" }, { "dropping-particle" : "", "family" : "Hinata", "given" : "Yuto", "non-dropping-particle" : "", "parse-names" : false, "suffix" : "" }, { "dropping-particle" : "", "family" : "Kagawa", "given" : "Yuki", "non-dropping-particle" : "", "parse-names" : false, "suffix" : "" }, { "dropping-particle" : "", "family" : "Iwasaki", "given" : "Kiyotaka", "non-dropping-particle" : "", "parse-names" : false, "suffix" : "" }, { "dropping-particle" : "", "family" : "Tsuneda", "given" : "Satoshi", "non-dropping-particle" : "", "parse-names" : false, "suffix" : "" }, { "dropping-particle" : "", "family" : "Shimizu", "given" : "Tatsuya", "non-dropping-particle" : "", "parse-names" : false, "suffix" : "" }, { "dropping-particle" : "", "family" : "Umezu", "given" : "Mitsuo", "non-dropping-particle" : "", "parse-names" : false, "suffix" : "" } ], "container-title" : "Biochemistry and Biophysics Reports", "id" : "ITEM-1", "issued" : { "date-parts" : [ [ "2018", "7", "1" ] ] }, "page" : "89-97", "publisher" : "Elsevier", "title" : "Low-temperature culturing improves survival rate of tissue-engineered cardiac cell sheets", "type" : "article-journal", "volume" : "14" }, "uris" : [ "http://www.mendeley.com/documents/?uuid=62219539-55dc-3749-b106-d12d304e2dc2" ] } ], "mendeley" : { "formattedCitation" : "[46]", "plainTextFormattedCitation" : "[46]", "previouslyFormattedCitation" : "[46]" }, "properties" : { "noteIndex" : 0 }, "schema" : "https://github.com/citation-style-language/schema/raw/master/csl-citation.json" }</w:instrText>
      </w:r>
      <w:r w:rsidRPr="00A93A6F">
        <w:fldChar w:fldCharType="separate"/>
      </w:r>
      <w:r w:rsidR="00ED1620" w:rsidRPr="00A93A6F">
        <w:rPr>
          <w:noProof/>
        </w:rPr>
        <w:t>[46]</w:t>
      </w:r>
      <w:r w:rsidRPr="00A93A6F">
        <w:fldChar w:fldCharType="end"/>
      </w:r>
      <w:r w:rsidRPr="00A93A6F">
        <w:t xml:space="preserve">. </w:t>
      </w:r>
    </w:p>
    <w:p w14:paraId="69D03E6C" w14:textId="77777777" w:rsidR="00437BE5" w:rsidRPr="00A93A6F" w:rsidRDefault="00437BE5" w:rsidP="00437BE5">
      <w:pPr>
        <w:pStyle w:val="Legend"/>
        <w:spacing w:line="360" w:lineRule="auto"/>
        <w:jc w:val="both"/>
      </w:pPr>
      <w:r w:rsidRPr="00A93A6F">
        <w:t>The data suggests that the temperature dependence of the gelation kinetics also plays an important role in obtaining highly aligned materials (</w:t>
      </w:r>
      <w:r w:rsidRPr="00A93A6F">
        <w:rPr>
          <w:b/>
        </w:rPr>
        <w:t>Figure 7</w:t>
      </w:r>
      <w:r w:rsidRPr="00A93A6F">
        <w:t xml:space="preserve">). To the best of our knowledge, such discrepancies in both micro- as well as macroscopic material behavior, </w:t>
      </w:r>
      <m:oMath>
        <m:acc>
          <m:accPr>
            <m:chr m:val="̅"/>
            <m:ctrlPr>
              <w:rPr>
                <w:rFonts w:ascii="Cambria Math" w:hAnsi="Cambria Math"/>
                <w:i/>
                <w:lang w:val="de-DE"/>
              </w:rPr>
            </m:ctrlPr>
          </m:accPr>
          <m:e>
            <m:r>
              <w:rPr>
                <w:rFonts w:ascii="Cambria Math" w:hAnsi="Cambria Math"/>
                <w:lang w:val="de-DE"/>
              </w:rPr>
              <m:t>S</m:t>
            </m:r>
          </m:e>
        </m:acc>
      </m:oMath>
      <w:r w:rsidRPr="00A93A6F">
        <w:t xml:space="preserve"> and </w:t>
      </w:r>
      <m:oMath>
        <m:sSup>
          <m:sSupPr>
            <m:ctrlPr>
              <w:rPr>
                <w:rFonts w:ascii="Cambria Math" w:hAnsi="Cambria Math"/>
                <w:i/>
                <w:lang w:val="de-DE"/>
              </w:rPr>
            </m:ctrlPr>
          </m:sSupPr>
          <m:e>
            <m:r>
              <w:rPr>
                <w:rFonts w:ascii="Cambria Math" w:hAnsi="Cambria Math"/>
                <w:lang w:val="de-DE"/>
              </w:rPr>
              <m:t>G</m:t>
            </m:r>
          </m:e>
          <m:sup>
            <m:r>
              <w:rPr>
                <w:rFonts w:ascii="Cambria Math" w:hAnsi="Cambria Math"/>
              </w:rPr>
              <m:t>'</m:t>
            </m:r>
          </m:sup>
        </m:sSup>
        <m:r>
          <w:rPr>
            <w:rFonts w:ascii="Cambria Math" w:hAnsi="Cambria Math"/>
          </w:rPr>
          <m:t>(</m:t>
        </m:r>
        <m:r>
          <w:rPr>
            <w:rFonts w:ascii="Cambria Math" w:hAnsi="Cambria Math"/>
            <w:lang w:val="de-DE"/>
          </w:rPr>
          <m:t>ω</m:t>
        </m:r>
        <m:r>
          <w:rPr>
            <w:rFonts w:ascii="Cambria Math" w:hAnsi="Cambria Math"/>
          </w:rPr>
          <m:t xml:space="preserve">=1 </m:t>
        </m:r>
        <m:r>
          <m:rPr>
            <m:nor/>
          </m:rPr>
          <w:rPr>
            <w:rFonts w:ascii="Cambria Math" w:hAnsi="Cambria Math"/>
          </w:rPr>
          <m:t>rad/s</m:t>
        </m:r>
        <m:r>
          <w:rPr>
            <w:rFonts w:ascii="Cambria Math" w:hAnsi="Cambria Math"/>
          </w:rPr>
          <m:t>)</m:t>
        </m:r>
      </m:oMath>
      <w:r w:rsidRPr="00A93A6F">
        <w:t xml:space="preserve"> respectively, are not described in literature. This highlights the need for further studies in order to gain full understanding of the complex interplay between environmental parameters and stress-controlled alignment in fibrillar hydrogels.</w:t>
      </w:r>
    </w:p>
    <w:p w14:paraId="74F7B090" w14:textId="77777777" w:rsidR="00437BE5" w:rsidRPr="00A93A6F" w:rsidRDefault="00437BE5" w:rsidP="00437BE5">
      <w:pPr>
        <w:pStyle w:val="Legend"/>
        <w:spacing w:line="360" w:lineRule="auto"/>
        <w:jc w:val="center"/>
      </w:pPr>
    </w:p>
    <w:p w14:paraId="5D3D83C4" w14:textId="33E8A1B5" w:rsidR="00437BE5" w:rsidRPr="00A93A6F" w:rsidRDefault="006B0A70" w:rsidP="00437BE5">
      <w:pPr>
        <w:pStyle w:val="Legend"/>
        <w:spacing w:line="360" w:lineRule="auto"/>
        <w:jc w:val="center"/>
      </w:pPr>
      <w:r w:rsidRPr="00A93A6F">
        <w:rPr>
          <w:noProof/>
          <w:lang w:val="nl-BE"/>
        </w:rPr>
        <w:drawing>
          <wp:inline distT="0" distB="0" distL="0" distR="0" wp14:anchorId="119BD1A0" wp14:editId="21C594C2">
            <wp:extent cx="2520000" cy="5459375"/>
            <wp:effectExtent l="0" t="0" r="0" b="8255"/>
            <wp:docPr id="16" name="Picture 16" descr="G:\Mijn Drive\PHDdrive\RheoPaper2021\Figures\Finished\Fi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Mijn Drive\PHDdrive\RheoPaper2021\Figures\Finished\Fig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0000" cy="5459375"/>
                    </a:xfrm>
                    <a:prstGeom prst="rect">
                      <a:avLst/>
                    </a:prstGeom>
                    <a:noFill/>
                    <a:ln>
                      <a:noFill/>
                    </a:ln>
                  </pic:spPr>
                </pic:pic>
              </a:graphicData>
            </a:graphic>
          </wp:inline>
        </w:drawing>
      </w:r>
    </w:p>
    <w:p w14:paraId="1BF4CEFF" w14:textId="77777777" w:rsidR="00437BE5" w:rsidRPr="00A93A6F" w:rsidRDefault="00437BE5" w:rsidP="00437BE5">
      <w:pPr>
        <w:pStyle w:val="Legend"/>
        <w:spacing w:line="360" w:lineRule="auto"/>
        <w:jc w:val="both"/>
      </w:pPr>
      <w:r w:rsidRPr="00A93A6F">
        <w:rPr>
          <w:b/>
        </w:rPr>
        <w:t>Figure 7.</w:t>
      </w:r>
      <w:r w:rsidRPr="00A93A6F">
        <w:t xml:space="preserve"> </w:t>
      </w:r>
      <w:r w:rsidRPr="00A93A6F">
        <w:rPr>
          <w:b/>
        </w:rPr>
        <w:t>Varying the solidification temperature causes micro- and macroscopic differences in material behavior.</w:t>
      </w:r>
      <w:r w:rsidRPr="00A93A6F">
        <w:t xml:space="preserve"> (a and b) Fully formed random network, solidified respectively at 37 </w:t>
      </w:r>
      <w:r w:rsidRPr="00A93A6F">
        <w:rPr>
          <w:vertAlign w:val="superscript"/>
        </w:rPr>
        <w:t>◦</w:t>
      </w:r>
      <w:r w:rsidRPr="00A93A6F">
        <w:t xml:space="preserve">C and 27 </w:t>
      </w:r>
      <w:r w:rsidRPr="00A93A6F">
        <w:rPr>
          <w:vertAlign w:val="superscript"/>
        </w:rPr>
        <w:t>◦</w:t>
      </w:r>
      <w:r w:rsidRPr="00A93A6F">
        <w:t xml:space="preserve">C. Scale bars are 50 </w:t>
      </w:r>
      <m:oMath>
        <m:r>
          <w:rPr>
            <w:rFonts w:ascii="Cambria Math" w:hAnsi="Cambria Math"/>
            <w:lang w:val="de-DE"/>
          </w:rPr>
          <m:t>μ</m:t>
        </m:r>
      </m:oMath>
      <w:r w:rsidRPr="00A93A6F">
        <w:t xml:space="preserve">m. (c) Deformation – stiffness relationship </w:t>
      </w:r>
      <w:r w:rsidRPr="00A93A6F">
        <w:lastRenderedPageBreak/>
        <w:t>comparison for different gelation conditions. (d) Relation between the induced strain and the measured average ordering (</w:t>
      </w:r>
      <m:oMath>
        <m:acc>
          <m:accPr>
            <m:chr m:val="̅"/>
            <m:ctrlPr>
              <w:rPr>
                <w:rFonts w:ascii="Cambria Math" w:hAnsi="Cambria Math"/>
                <w:i/>
                <w:lang w:val="de-DE"/>
              </w:rPr>
            </m:ctrlPr>
          </m:accPr>
          <m:e>
            <m:r>
              <w:rPr>
                <w:rFonts w:ascii="Cambria Math" w:hAnsi="Cambria Math"/>
                <w:lang w:val="de-DE"/>
              </w:rPr>
              <m:t>S</m:t>
            </m:r>
          </m:e>
        </m:acc>
      </m:oMath>
      <w:r w:rsidRPr="00A93A6F">
        <w:t>). The solid lines are added for visualization. Error bars representing the standard error are smaller than the symbol size in (c) and (d).</w:t>
      </w:r>
    </w:p>
    <w:p w14:paraId="19B5C97B" w14:textId="77777777" w:rsidR="00437BE5" w:rsidRPr="00A93A6F" w:rsidRDefault="00437BE5" w:rsidP="00437BE5">
      <w:pPr>
        <w:pStyle w:val="Legend"/>
        <w:spacing w:line="360" w:lineRule="auto"/>
        <w:jc w:val="both"/>
      </w:pPr>
    </w:p>
    <w:p w14:paraId="6DFF3A0A" w14:textId="55156C58" w:rsidR="00437BE5" w:rsidRPr="00A93A6F" w:rsidRDefault="00437BE5" w:rsidP="00437BE5">
      <w:pPr>
        <w:pStyle w:val="Legend"/>
        <w:spacing w:line="360" w:lineRule="auto"/>
        <w:rPr>
          <w:b/>
        </w:rPr>
      </w:pPr>
      <w:r w:rsidRPr="00A93A6F">
        <w:rPr>
          <w:b/>
        </w:rPr>
        <w:t xml:space="preserve">3.5 </w:t>
      </w:r>
      <w:r w:rsidR="00076DC0" w:rsidRPr="00A93A6F">
        <w:rPr>
          <w:b/>
        </w:rPr>
        <w:t xml:space="preserve">Cell </w:t>
      </w:r>
      <w:r w:rsidR="006B4AA5" w:rsidRPr="00A93A6F">
        <w:rPr>
          <w:b/>
        </w:rPr>
        <w:t>inclusion</w:t>
      </w:r>
    </w:p>
    <w:p w14:paraId="736280F9" w14:textId="0E4D8C59" w:rsidR="00437BE5" w:rsidRPr="00A93A6F" w:rsidRDefault="00437BE5" w:rsidP="00437BE5">
      <w:pPr>
        <w:pStyle w:val="Legend"/>
        <w:spacing w:line="360" w:lineRule="auto"/>
        <w:jc w:val="both"/>
      </w:pPr>
      <w:r w:rsidRPr="00A93A6F">
        <w:t>Finally, since one of the purposes of aligning fibrillar scaffolds is to influence cellular phenotype, we have evaluated the effect of the protocol on the viability of SH-SY5Y neuron-like cell lines. No statistically significant difference (</w:t>
      </w:r>
      <m:oMath>
        <m:r>
          <w:rPr>
            <w:rFonts w:ascii="Cambria Math" w:hAnsi="Cambria Math"/>
          </w:rPr>
          <m:t>p=</m:t>
        </m:r>
      </m:oMath>
      <w:r w:rsidR="008B29E8" w:rsidRPr="00A93A6F">
        <w:t xml:space="preserve"> 0.91 after two hours and </w:t>
      </w:r>
      <w:r w:rsidRPr="00A93A6F">
        <w:t>0.</w:t>
      </w:r>
      <w:r w:rsidR="008B29E8" w:rsidRPr="00A93A6F">
        <w:t>10 after 24 hours</w:t>
      </w:r>
      <w:r w:rsidRPr="00A93A6F">
        <w:t>) was observed between the viability of cells under control (</w:t>
      </w:r>
      <m:oMath>
        <m:sSub>
          <m:sSubPr>
            <m:ctrlPr>
              <w:rPr>
                <w:rFonts w:ascii="Cambria Math" w:hAnsi="Cambria Math"/>
              </w:rPr>
            </m:ctrlPr>
          </m:sSubPr>
          <m:e>
            <m:r>
              <w:rPr>
                <w:rFonts w:ascii="Cambria Math" w:hAnsi="Cambria Math"/>
              </w:rPr>
              <m:t>σ</m:t>
            </m:r>
          </m:e>
          <m:sub>
            <m:r>
              <w:rPr>
                <w:rFonts w:ascii="Cambria Math" w:hAnsi="Cambria Math"/>
              </w:rPr>
              <m:t>app</m:t>
            </m:r>
          </m:sub>
        </m:sSub>
      </m:oMath>
      <w:r w:rsidRPr="00A93A6F">
        <w:t>= 0 Pa) and stressed conditions (</w:t>
      </w:r>
      <m:oMath>
        <m:sSub>
          <m:sSubPr>
            <m:ctrlPr>
              <w:rPr>
                <w:rFonts w:ascii="Cambria Math" w:hAnsi="Cambria Math"/>
              </w:rPr>
            </m:ctrlPr>
          </m:sSubPr>
          <m:e>
            <m:r>
              <w:rPr>
                <w:rFonts w:ascii="Cambria Math" w:hAnsi="Cambria Math"/>
              </w:rPr>
              <m:t>σ</m:t>
            </m:r>
          </m:e>
          <m:sub>
            <m:r>
              <w:rPr>
                <w:rFonts w:ascii="Cambria Math" w:hAnsi="Cambria Math"/>
              </w:rPr>
              <m:t>app</m:t>
            </m:r>
          </m:sub>
        </m:sSub>
      </m:oMath>
      <w:r w:rsidRPr="00A93A6F">
        <w:t xml:space="preserve">= 1.5 Pa), at 27 </w:t>
      </w:r>
      <w:r w:rsidRPr="00A93A6F">
        <w:rPr>
          <w:vertAlign w:val="superscript"/>
        </w:rPr>
        <w:t>◦</w:t>
      </w:r>
      <w:r w:rsidRPr="00A93A6F">
        <w:t xml:space="preserve">C, measured directly and one day </w:t>
      </w:r>
      <w:r w:rsidR="00F919A4" w:rsidRPr="00A93A6F">
        <w:t>after shearing</w:t>
      </w:r>
      <w:r w:rsidRPr="00A93A6F">
        <w:t xml:space="preserve"> (</w:t>
      </w:r>
      <w:r w:rsidR="00481187" w:rsidRPr="00A93A6F">
        <w:rPr>
          <w:b/>
        </w:rPr>
        <w:t>Figure S</w:t>
      </w:r>
      <w:r w:rsidR="000757E9" w:rsidRPr="00A93A6F">
        <w:rPr>
          <w:b/>
        </w:rPr>
        <w:t>8</w:t>
      </w:r>
      <w:r w:rsidRPr="00A93A6F">
        <w:t xml:space="preserve">), indicating that the proposed approach does not significantly affect cell viability and is thus compatible with 3D cell incorporation. </w:t>
      </w:r>
    </w:p>
    <w:p w14:paraId="11482553" w14:textId="1C12E602" w:rsidR="000E36A5" w:rsidRPr="00A93A6F" w:rsidRDefault="00E320B4" w:rsidP="00437BE5">
      <w:pPr>
        <w:pStyle w:val="Legend"/>
        <w:spacing w:line="360" w:lineRule="auto"/>
        <w:jc w:val="both"/>
      </w:pPr>
      <w:r w:rsidRPr="00A93A6F">
        <w:t>Furthermore, we qualitatively show neurite polarization of SH-SY5Y cells (</w:t>
      </w:r>
      <w:r w:rsidRPr="00A93A6F">
        <w:rPr>
          <w:b/>
          <w:bCs/>
        </w:rPr>
        <w:t xml:space="preserve">Figure </w:t>
      </w:r>
      <w:r w:rsidR="000E36A5" w:rsidRPr="00A93A6F">
        <w:rPr>
          <w:b/>
          <w:bCs/>
        </w:rPr>
        <w:t>8</w:t>
      </w:r>
      <w:r w:rsidRPr="00A93A6F">
        <w:t>) three days after inclusion in an aligned sample (</w:t>
      </w:r>
      <m:oMath>
        <m:sSub>
          <m:sSubPr>
            <m:ctrlPr>
              <w:rPr>
                <w:rFonts w:ascii="Cambria Math" w:hAnsi="Cambria Math"/>
                <w:i/>
              </w:rPr>
            </m:ctrlPr>
          </m:sSubPr>
          <m:e>
            <m:r>
              <w:rPr>
                <w:rFonts w:ascii="Cambria Math" w:hAnsi="Cambria Math"/>
              </w:rPr>
              <m:t>γ</m:t>
            </m:r>
          </m:e>
          <m:sub>
            <m:r>
              <w:rPr>
                <w:rFonts w:ascii="Cambria Math" w:hAnsi="Cambria Math"/>
              </w:rPr>
              <m:t>ind</m:t>
            </m:r>
          </m:sub>
        </m:sSub>
      </m:oMath>
      <w:r w:rsidRPr="00A93A6F">
        <w:t xml:space="preserve"> = 73.0 %). This highlights the potential of our technique for future</w:t>
      </w:r>
      <w:r w:rsidR="0036680C" w:rsidRPr="00A93A6F">
        <w:t xml:space="preserve"> cell guidance</w:t>
      </w:r>
      <w:r w:rsidRPr="00A93A6F">
        <w:t xml:space="preserve"> studies.</w:t>
      </w:r>
    </w:p>
    <w:p w14:paraId="3BC74529" w14:textId="4B73A709" w:rsidR="00EA5E13" w:rsidRPr="00A93A6F" w:rsidRDefault="00143A1D" w:rsidP="00437BE5">
      <w:pPr>
        <w:pStyle w:val="Legend"/>
        <w:spacing w:line="360" w:lineRule="auto"/>
        <w:jc w:val="both"/>
      </w:pPr>
      <w:r w:rsidRPr="00A93A6F">
        <w:rPr>
          <w:noProof/>
          <w:lang w:val="nl-BE"/>
        </w:rPr>
        <w:drawing>
          <wp:inline distT="0" distB="0" distL="0" distR="0" wp14:anchorId="57566560" wp14:editId="43999F6F">
            <wp:extent cx="5760000" cy="30315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685" t="40027" r="1341" b="24620"/>
                    <a:stretch/>
                  </pic:blipFill>
                  <pic:spPr bwMode="auto">
                    <a:xfrm>
                      <a:off x="0" y="0"/>
                      <a:ext cx="5760000" cy="3031584"/>
                    </a:xfrm>
                    <a:prstGeom prst="rect">
                      <a:avLst/>
                    </a:prstGeom>
                    <a:noFill/>
                    <a:ln>
                      <a:noFill/>
                    </a:ln>
                    <a:extLst>
                      <a:ext uri="{53640926-AAD7-44D8-BBD7-CCE9431645EC}">
                        <a14:shadowObscured xmlns:a14="http://schemas.microsoft.com/office/drawing/2010/main"/>
                      </a:ext>
                    </a:extLst>
                  </pic:spPr>
                </pic:pic>
              </a:graphicData>
            </a:graphic>
          </wp:inline>
        </w:drawing>
      </w:r>
    </w:p>
    <w:p w14:paraId="222ECAF8" w14:textId="47BF4432" w:rsidR="000E36A5" w:rsidRPr="00A93A6F" w:rsidRDefault="000E36A5" w:rsidP="00437BE5">
      <w:pPr>
        <w:pStyle w:val="Legend"/>
        <w:spacing w:line="360" w:lineRule="auto"/>
        <w:jc w:val="both"/>
      </w:pPr>
      <w:r w:rsidRPr="00A93A6F">
        <w:rPr>
          <w:b/>
        </w:rPr>
        <w:t xml:space="preserve">Figure </w:t>
      </w:r>
      <w:r w:rsidR="005F4A9C" w:rsidRPr="00A93A6F">
        <w:rPr>
          <w:b/>
        </w:rPr>
        <w:t>8</w:t>
      </w:r>
      <w:r w:rsidRPr="00A93A6F">
        <w:rPr>
          <w:b/>
        </w:rPr>
        <w:t>:</w:t>
      </w:r>
      <w:r w:rsidRPr="00A93A6F">
        <w:t xml:space="preserve"> </w:t>
      </w:r>
      <w:r w:rsidRPr="00A93A6F">
        <w:rPr>
          <w:b/>
          <w:bCs/>
          <w:lang w:val="de-DE"/>
        </w:rPr>
        <w:t>SH-SY5Y polarization in 3D aligned samples.</w:t>
      </w:r>
      <w:r w:rsidRPr="00A93A6F">
        <w:rPr>
          <w:lang w:val="de-DE"/>
        </w:rPr>
        <w:t xml:space="preserve"> (a) The azimuth direction (white arrow) of the cylindrical sample is determined based on the visualization of the edge through collagen autofluorescence. (b) </w:t>
      </w:r>
      <w:r w:rsidR="004C53A5" w:rsidRPr="00A93A6F">
        <w:rPr>
          <w:lang w:val="de-DE"/>
        </w:rPr>
        <w:t xml:space="preserve">Projected </w:t>
      </w:r>
      <w:r w:rsidRPr="00A93A6F">
        <w:rPr>
          <w:lang w:val="de-DE"/>
        </w:rPr>
        <w:t xml:space="preserve">confocal Z-stack of GFP-tagged SH-SY5Y three days after sample fabrication. The white arrow indicates the local collagen fiber orientation (azimuth direction). Conditions used to obtain this sample were </w:t>
      </w:r>
      <m:oMath>
        <m:sSub>
          <m:sSubPr>
            <m:ctrlPr>
              <w:rPr>
                <w:rFonts w:ascii="Cambria Math" w:hAnsi="Cambria Math"/>
                <w:i/>
                <w:lang w:val="de-DE"/>
              </w:rPr>
            </m:ctrlPr>
          </m:sSubPr>
          <m:e>
            <m:r>
              <w:rPr>
                <w:rFonts w:ascii="Cambria Math" w:hAnsi="Cambria Math"/>
                <w:lang w:val="de-DE"/>
              </w:rPr>
              <m:t>σ</m:t>
            </m:r>
          </m:e>
          <m:sub>
            <m:r>
              <w:rPr>
                <w:rFonts w:ascii="Cambria Math" w:hAnsi="Cambria Math"/>
                <w:lang w:val="de-DE"/>
              </w:rPr>
              <m:t>app</m:t>
            </m:r>
          </m:sub>
        </m:sSub>
      </m:oMath>
      <w:r w:rsidRPr="00A93A6F">
        <w:rPr>
          <w:lang w:val="de-DE"/>
        </w:rPr>
        <w:t xml:space="preserve"> = 1.5 Pa, </w:t>
      </w:r>
      <m:oMath>
        <m:d>
          <m:dPr>
            <m:begChr m:val="|"/>
            <m:endChr m:val="|"/>
            <m:ctrlPr>
              <w:rPr>
                <w:rFonts w:ascii="Cambria Math" w:hAnsi="Cambria Math"/>
                <w:i/>
                <w:lang w:val="de-DE"/>
              </w:rPr>
            </m:ctrlPr>
          </m:dPr>
          <m:e>
            <m:sSubSup>
              <m:sSubSupPr>
                <m:ctrlPr>
                  <w:rPr>
                    <w:rFonts w:ascii="Cambria Math" w:hAnsi="Cambria Math"/>
                    <w:i/>
                    <w:lang w:val="de-DE"/>
                  </w:rPr>
                </m:ctrlPr>
              </m:sSubSupPr>
              <m:e>
                <m:r>
                  <w:rPr>
                    <w:rFonts w:ascii="Cambria Math" w:hAnsi="Cambria Math"/>
                    <w:lang w:val="de-DE"/>
                  </w:rPr>
                  <m:t>G</m:t>
                </m:r>
              </m:e>
              <m:sub>
                <m:r>
                  <w:rPr>
                    <w:rFonts w:ascii="Cambria Math" w:hAnsi="Cambria Math"/>
                    <w:lang w:val="de-DE"/>
                  </w:rPr>
                  <m:t>s</m:t>
                </m:r>
              </m:sub>
              <m:sup>
                <m:r>
                  <w:rPr>
                    <w:rFonts w:ascii="Cambria Math" w:hAnsi="Cambria Math"/>
                    <w:lang w:val="de-DE"/>
                  </w:rPr>
                  <m:t>*</m:t>
                </m:r>
              </m:sup>
            </m:sSubSup>
          </m:e>
        </m:d>
        <m:r>
          <w:rPr>
            <w:rFonts w:ascii="Cambria Math" w:hAnsi="Cambria Math"/>
            <w:lang w:val="de-DE"/>
          </w:rPr>
          <m:t>/</m:t>
        </m:r>
        <m:d>
          <m:dPr>
            <m:begChr m:val="|"/>
            <m:endChr m:val="|"/>
            <m:ctrlPr>
              <w:rPr>
                <w:rFonts w:ascii="Cambria Math" w:hAnsi="Cambria Math"/>
                <w:i/>
                <w:lang w:val="de-DE"/>
              </w:rPr>
            </m:ctrlPr>
          </m:dPr>
          <m:e>
            <m:sSubSup>
              <m:sSubSupPr>
                <m:ctrlPr>
                  <w:rPr>
                    <w:rFonts w:ascii="Cambria Math" w:hAnsi="Cambria Math"/>
                    <w:i/>
                    <w:lang w:val="de-DE"/>
                  </w:rPr>
                </m:ctrlPr>
              </m:sSubSupPr>
              <m:e>
                <m:r>
                  <w:rPr>
                    <w:rFonts w:ascii="Cambria Math" w:hAnsi="Cambria Math"/>
                    <w:lang w:val="de-DE"/>
                  </w:rPr>
                  <m:t>G</m:t>
                </m:r>
              </m:e>
              <m:sub>
                <m:r>
                  <w:rPr>
                    <w:rFonts w:ascii="Cambria Math" w:hAnsi="Cambria Math"/>
                    <w:lang w:val="de-DE"/>
                  </w:rPr>
                  <m:t>c</m:t>
                </m:r>
              </m:sub>
              <m:sup>
                <m:r>
                  <w:rPr>
                    <w:rFonts w:ascii="Cambria Math" w:hAnsi="Cambria Math"/>
                    <w:lang w:val="de-DE"/>
                  </w:rPr>
                  <m:t>*</m:t>
                </m:r>
              </m:sup>
            </m:sSubSup>
          </m:e>
        </m:d>
      </m:oMath>
      <w:r w:rsidRPr="00A93A6F">
        <w:rPr>
          <w:lang w:val="de-DE"/>
        </w:rPr>
        <w:t xml:space="preserve"> = 1.78 and a solidification temperature of 27</w:t>
      </w:r>
      <w:r w:rsidRPr="00A93A6F">
        <w:rPr>
          <w:vertAlign w:val="superscript"/>
          <w:lang w:val="de-DE"/>
        </w:rPr>
        <w:t>◦</w:t>
      </w:r>
      <w:r w:rsidRPr="00A93A6F">
        <w:rPr>
          <w:lang w:val="de-DE"/>
        </w:rPr>
        <w:t xml:space="preserve">C, resulting in an induced strain of 73.0 %.  </w:t>
      </w:r>
    </w:p>
    <w:p w14:paraId="23A71349" w14:textId="77777777" w:rsidR="00E320B4" w:rsidRPr="00A93A6F" w:rsidRDefault="00E320B4" w:rsidP="00437BE5">
      <w:pPr>
        <w:pStyle w:val="Legend"/>
        <w:spacing w:line="360" w:lineRule="auto"/>
        <w:jc w:val="both"/>
      </w:pPr>
    </w:p>
    <w:p w14:paraId="44B0BA50" w14:textId="77777777" w:rsidR="00437BE5" w:rsidRPr="00A93A6F" w:rsidRDefault="00437BE5" w:rsidP="00437BE5">
      <w:pPr>
        <w:pStyle w:val="Legend"/>
        <w:spacing w:line="360" w:lineRule="auto"/>
        <w:rPr>
          <w:b/>
        </w:rPr>
      </w:pPr>
      <w:r w:rsidRPr="00A93A6F">
        <w:rPr>
          <w:b/>
        </w:rPr>
        <w:lastRenderedPageBreak/>
        <w:t>3.6 Outlook</w:t>
      </w:r>
    </w:p>
    <w:p w14:paraId="4AE87ACF" w14:textId="173A3C5D" w:rsidR="00437BE5" w:rsidRPr="00A93A6F" w:rsidRDefault="00437BE5" w:rsidP="00437BE5">
      <w:pPr>
        <w:pStyle w:val="Legend"/>
        <w:spacing w:line="360" w:lineRule="auto"/>
        <w:jc w:val="both"/>
      </w:pPr>
      <w:r w:rsidRPr="00A93A6F">
        <w:t xml:space="preserve">Our protocol offers a </w:t>
      </w:r>
      <w:r w:rsidR="004A5600" w:rsidRPr="00A93A6F">
        <w:t xml:space="preserve">high </w:t>
      </w:r>
      <w:r w:rsidRPr="00A93A6F">
        <w:t xml:space="preserve">degree of reproducibility and tunability over alignment in 3D cell containing </w:t>
      </w:r>
      <w:r w:rsidR="004A5600" w:rsidRPr="00A93A6F">
        <w:t>hydrogels</w:t>
      </w:r>
      <w:r w:rsidRPr="00A93A6F">
        <w:t xml:space="preserve">, without the need for </w:t>
      </w:r>
      <w:r w:rsidR="004A5600" w:rsidRPr="00A93A6F">
        <w:t xml:space="preserve">indefinitely maintaining </w:t>
      </w:r>
      <w:r w:rsidRPr="00A93A6F">
        <w:t>external stresses</w:t>
      </w:r>
      <w:r w:rsidR="00555F5B" w:rsidRPr="00A93A6F">
        <w:t xml:space="preserve"> on</w:t>
      </w:r>
      <w:r w:rsidR="004A5600" w:rsidRPr="00A93A6F">
        <w:t xml:space="preserve"> the system</w:t>
      </w:r>
      <w:r w:rsidRPr="00A93A6F">
        <w:t xml:space="preserve">. The new method </w:t>
      </w:r>
      <w:r w:rsidR="004A5600" w:rsidRPr="00A93A6F">
        <w:t>is a</w:t>
      </w:r>
      <w:r w:rsidRPr="00A93A6F">
        <w:t xml:space="preserve"> first step towards understanding the features needed for commercial production of 3D anisotropic materials, </w:t>
      </w:r>
      <w:r w:rsidR="00F47641" w:rsidRPr="00A93A6F">
        <w:t xml:space="preserve">which could </w:t>
      </w:r>
      <w:r w:rsidRPr="00A93A6F">
        <w:t xml:space="preserve">for example </w:t>
      </w:r>
      <w:r w:rsidR="00F47641" w:rsidRPr="00A93A6F">
        <w:t>be achieved if</w:t>
      </w:r>
      <w:r w:rsidRPr="00A93A6F">
        <w:t xml:space="preserve"> </w:t>
      </w:r>
      <w:r w:rsidR="00F47641" w:rsidRPr="00A93A6F">
        <w:t xml:space="preserve">the knowledge </w:t>
      </w:r>
      <w:r w:rsidR="004A5600" w:rsidRPr="00A93A6F">
        <w:t xml:space="preserve">acquired in this study </w:t>
      </w:r>
      <w:r w:rsidR="00F47641" w:rsidRPr="00A93A6F">
        <w:t xml:space="preserve">is </w:t>
      </w:r>
      <w:r w:rsidR="004A5600" w:rsidRPr="00A93A6F">
        <w:t>translat</w:t>
      </w:r>
      <w:r w:rsidR="00F47641" w:rsidRPr="00A93A6F">
        <w:t xml:space="preserve">ed </w:t>
      </w:r>
      <w:r w:rsidRPr="00A93A6F">
        <w:t>to extrusion approaches.</w:t>
      </w:r>
      <w:r w:rsidRPr="00A93A6F">
        <w:rPr>
          <w:b/>
          <w:bCs/>
        </w:rPr>
        <w:t xml:space="preserve"> </w:t>
      </w:r>
      <w:r w:rsidRPr="00A93A6F">
        <w:t xml:space="preserve">Furthermore, because of its reproducibility, our technique allows to systematically evaluate the link between process parameters and </w:t>
      </w:r>
      <w:r w:rsidR="004A5600" w:rsidRPr="00A93A6F">
        <w:t xml:space="preserve">the </w:t>
      </w:r>
      <w:r w:rsidRPr="00A93A6F">
        <w:t xml:space="preserve">resulting alignment. Among the relevant process parameters are: pH, temperature, monomer concentration, humidity, etc. Variations in this parameter space may induce changes in the phenotype of embedded cells, allowing to better understand the role of alignment in living matter, and perfect industrial biotechnological processes. </w:t>
      </w:r>
    </w:p>
    <w:p w14:paraId="53BC38AE" w14:textId="264C536A" w:rsidR="00437BE5" w:rsidRPr="00A93A6F" w:rsidRDefault="001E7B7F" w:rsidP="00437BE5">
      <w:pPr>
        <w:pStyle w:val="Legend"/>
        <w:spacing w:line="360" w:lineRule="auto"/>
        <w:jc w:val="both"/>
      </w:pPr>
      <w:bookmarkStart w:id="10" w:name="_Hlk102051411"/>
      <w:r w:rsidRPr="00A93A6F">
        <w:t>We also note that</w:t>
      </w:r>
      <w:r w:rsidR="00437BE5" w:rsidRPr="00A93A6F">
        <w:t xml:space="preserve"> this approach is not limited to collagen type-I, </w:t>
      </w:r>
      <w:bookmarkEnd w:id="10"/>
      <w:r w:rsidR="00437BE5" w:rsidRPr="00A93A6F">
        <w:t>but can be applied to all materials develop</w:t>
      </w:r>
      <w:r w:rsidR="00C02216" w:rsidRPr="00A93A6F">
        <w:t>ing</w:t>
      </w:r>
      <w:r w:rsidR="00437BE5" w:rsidRPr="00A93A6F">
        <w:t xml:space="preserve"> a fibrillar hydrogel structure over time, </w:t>
      </w:r>
      <w:r w:rsidR="00C02216" w:rsidRPr="00A93A6F">
        <w:t>both</w:t>
      </w:r>
      <w:r w:rsidR="00437BE5" w:rsidRPr="00A93A6F">
        <w:t xml:space="preserve"> natur</w:t>
      </w:r>
      <w:r w:rsidR="00C02216" w:rsidRPr="00A93A6F">
        <w:t>al (</w:t>
      </w:r>
      <w:r w:rsidR="00C02216" w:rsidRPr="00A93A6F">
        <w:rPr>
          <w:i/>
          <w:iCs/>
        </w:rPr>
        <w:t>e.g.</w:t>
      </w:r>
      <w:r w:rsidR="00992E72" w:rsidRPr="00A93A6F">
        <w:rPr>
          <w:i/>
          <w:iCs/>
        </w:rPr>
        <w:t>,</w:t>
      </w:r>
      <w:r w:rsidR="00437BE5" w:rsidRPr="00A93A6F">
        <w:rPr>
          <w:i/>
          <w:iCs/>
        </w:rPr>
        <w:t xml:space="preserve"> </w:t>
      </w:r>
      <w:r w:rsidR="00437BE5" w:rsidRPr="00A93A6F">
        <w:t>other collagen types</w:t>
      </w:r>
      <w:r w:rsidR="00457495" w:rsidRPr="00A93A6F">
        <w:t>,</w:t>
      </w:r>
      <w:r w:rsidR="00437BE5" w:rsidRPr="00A93A6F">
        <w:t xml:space="preserve"> fibronectin</w:t>
      </w:r>
      <w:r w:rsidR="00457495" w:rsidRPr="00A93A6F">
        <w:t>, fibrin etc.</w:t>
      </w:r>
      <w:r w:rsidR="00C02216" w:rsidRPr="00A93A6F">
        <w:t>)</w:t>
      </w:r>
      <w:r w:rsidR="008617C8" w:rsidRPr="00A93A6F">
        <w:t xml:space="preserve"> and synthetic</w:t>
      </w:r>
      <w:r w:rsidR="00437BE5" w:rsidRPr="00A93A6F">
        <w:t xml:space="preserve">. </w:t>
      </w:r>
      <w:r w:rsidR="00756C8E" w:rsidRPr="00A93A6F">
        <w:t>Of special</w:t>
      </w:r>
      <w:r w:rsidR="00437BE5" w:rsidRPr="00A93A6F">
        <w:t xml:space="preserve"> interest are the animal-free synthetic alternatives</w:t>
      </w:r>
      <w:r w:rsidR="00457495" w:rsidRPr="00A93A6F">
        <w:t>,</w:t>
      </w:r>
      <w:r w:rsidR="00437BE5" w:rsidRPr="00A93A6F">
        <w:t xml:space="preserve"> which have higher </w:t>
      </w:r>
      <w:r w:rsidR="00457495" w:rsidRPr="00A93A6F">
        <w:t xml:space="preserve">availability, </w:t>
      </w:r>
      <w:r w:rsidR="00437BE5" w:rsidRPr="00A93A6F">
        <w:t xml:space="preserve">batch </w:t>
      </w:r>
      <w:r w:rsidR="00457495" w:rsidRPr="00A93A6F">
        <w:t>to batch reproducibility and</w:t>
      </w:r>
      <w:r w:rsidR="00756C8E" w:rsidRPr="00A93A6F">
        <w:t xml:space="preserve"> lower chan</w:t>
      </w:r>
      <w:r w:rsidR="00457495" w:rsidRPr="00A93A6F">
        <w:t>ce</w:t>
      </w:r>
      <w:r w:rsidR="00756C8E" w:rsidRPr="00A93A6F">
        <w:t xml:space="preserve"> of pathogen contamination</w:t>
      </w:r>
      <w:r w:rsidR="00437BE5" w:rsidRPr="00A93A6F">
        <w:t xml:space="preserve">. Some </w:t>
      </w:r>
      <w:r w:rsidR="00457495" w:rsidRPr="00A93A6F">
        <w:t xml:space="preserve">interesting </w:t>
      </w:r>
      <w:r w:rsidR="00437BE5" w:rsidRPr="00A93A6F">
        <w:t xml:space="preserve">candidates are block copolymer worm-like micelles, peptide and filamentous </w:t>
      </w:r>
      <w:bookmarkStart w:id="11" w:name="_Hlk102051428"/>
      <w:r w:rsidR="00437BE5" w:rsidRPr="00A93A6F">
        <w:t>nanoparticle</w:t>
      </w:r>
      <w:r w:rsidR="00457495" w:rsidRPr="00A93A6F">
        <w:t xml:space="preserve"> hydrogels</w:t>
      </w:r>
      <w:r w:rsidR="00437BE5" w:rsidRPr="00A93A6F">
        <w:t xml:space="preserve"> composed of cellulose or chitin nanocrystals. </w:t>
      </w:r>
      <w:bookmarkEnd w:id="11"/>
    </w:p>
    <w:p w14:paraId="76D7511C" w14:textId="77777777" w:rsidR="00437BE5" w:rsidRPr="00A93A6F" w:rsidRDefault="00437BE5" w:rsidP="00437BE5">
      <w:pPr>
        <w:pStyle w:val="Legend"/>
        <w:spacing w:line="360" w:lineRule="auto"/>
      </w:pPr>
    </w:p>
    <w:p w14:paraId="3D4FA093" w14:textId="77777777" w:rsidR="00437BE5" w:rsidRPr="00A93A6F" w:rsidRDefault="00437BE5" w:rsidP="00437BE5">
      <w:pPr>
        <w:pStyle w:val="Legend"/>
        <w:spacing w:line="360" w:lineRule="auto"/>
        <w:rPr>
          <w:b/>
        </w:rPr>
      </w:pPr>
      <w:r w:rsidRPr="00A93A6F">
        <w:rPr>
          <w:b/>
        </w:rPr>
        <w:t>4. Conclusions</w:t>
      </w:r>
    </w:p>
    <w:p w14:paraId="32CFF58E" w14:textId="0FB241BD" w:rsidR="00437BE5" w:rsidRPr="00A93A6F" w:rsidRDefault="00437BE5" w:rsidP="00437BE5">
      <w:pPr>
        <w:pStyle w:val="Legend"/>
        <w:spacing w:line="360" w:lineRule="auto"/>
        <w:jc w:val="both"/>
      </w:pPr>
      <w:r w:rsidRPr="00A93A6F">
        <w:t xml:space="preserve">In this paper we discuss a shear stress-controlled flow method for the </w:t>
      </w:r>
      <w:r w:rsidRPr="00A93A6F">
        <w:rPr>
          <w:i/>
          <w:iCs/>
        </w:rPr>
        <w:t>in vitro</w:t>
      </w:r>
      <w:r w:rsidRPr="00A93A6F">
        <w:t xml:space="preserve"> fabrication of 3D aligned fibrillar cell </w:t>
      </w:r>
      <w:r w:rsidR="00457495" w:rsidRPr="00A93A6F">
        <w:t>matrices and</w:t>
      </w:r>
      <w:r w:rsidRPr="00A93A6F">
        <w:t xml:space="preserve"> identify the parameters affecting the collagen fiber ordering. We show that the initiation time at which the stress has to be applied is sample specific and needs to be determined </w:t>
      </w:r>
      <w:r w:rsidRPr="00A93A6F">
        <w:rPr>
          <w:i/>
          <w:iCs/>
        </w:rPr>
        <w:t>in situ</w:t>
      </w:r>
      <w:r w:rsidRPr="00A93A6F">
        <w:t xml:space="preserve"> by measuring the stiffness of the solidifying sample (</w:t>
      </w:r>
      <w:r w:rsidRPr="00A93A6F">
        <w:rPr>
          <w:i/>
          <w:iCs/>
        </w:rPr>
        <w:t>e.g.</w:t>
      </w:r>
      <w:r w:rsidRPr="00A93A6F">
        <w:rPr>
          <w:i/>
        </w:rPr>
        <w:t xml:space="preserve">, </w:t>
      </w:r>
      <m:oMath>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G</m:t>
                </m:r>
              </m:e>
              <m:sub>
                <m:r>
                  <w:rPr>
                    <w:rFonts w:ascii="Cambria Math" w:hAnsi="Cambria Math"/>
                  </w:rPr>
                  <m:t>s</m:t>
                </m:r>
              </m:sub>
              <m:sup>
                <m:r>
                  <w:rPr>
                    <w:rFonts w:ascii="Cambria Math" w:hAnsi="Cambria Math"/>
                  </w:rPr>
                  <m:t>*</m:t>
                </m:r>
              </m:sup>
            </m:sSubSup>
          </m:e>
        </m:d>
      </m:oMath>
      <w:r w:rsidRPr="00A93A6F">
        <w:t xml:space="preserve">), rather than by choosing a fixed point in time. Furthermore, a broad range of orientational ordering can be obtained in a controlled manner by varying </w:t>
      </w:r>
      <m:oMath>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G</m:t>
                </m:r>
              </m:e>
              <m:sub>
                <m:r>
                  <w:rPr>
                    <w:rFonts w:ascii="Cambria Math" w:hAnsi="Cambria Math"/>
                  </w:rPr>
                  <m:t>s</m:t>
                </m:r>
              </m:sub>
              <m:sup>
                <m:r>
                  <w:rPr>
                    <w:rFonts w:ascii="Cambria Math" w:hAnsi="Cambria Math"/>
                  </w:rPr>
                  <m:t>*</m:t>
                </m:r>
              </m:sup>
            </m:sSubSup>
          </m:e>
        </m:d>
      </m:oMath>
      <w:r w:rsidRPr="00A93A6F">
        <w:t xml:space="preserve">, which is linearly related to the induced strain </w:t>
      </w:r>
      <m:oMath>
        <m:sSub>
          <m:sSubPr>
            <m:ctrlPr>
              <w:rPr>
                <w:rFonts w:ascii="Cambria Math" w:hAnsi="Cambria Math"/>
              </w:rPr>
            </m:ctrlPr>
          </m:sSubPr>
          <m:e>
            <m:r>
              <w:rPr>
                <w:rFonts w:ascii="Cambria Math" w:hAnsi="Cambria Math"/>
              </w:rPr>
              <m:t>γ</m:t>
            </m:r>
          </m:e>
          <m:sub>
            <m:r>
              <w:rPr>
                <w:rFonts w:ascii="Cambria Math" w:hAnsi="Cambria Math"/>
              </w:rPr>
              <m:t>ind</m:t>
            </m:r>
          </m:sub>
        </m:sSub>
      </m:oMath>
      <w:r w:rsidRPr="00A93A6F">
        <w:t xml:space="preserve">. Lastly, the effect of the different solidifying temperatures on the system hints at a complex interplay between gelation kinetics, structure morphology, and susceptibility to shear induced alignment. These observations aid the development of a biocompatible shear flow method capable of inducing homogeneous ordering in bulk cell-laden 3D fibrillar hydrogels, with a reproducibility surpassing that of the current state of the art protocols. While previous approaches described alignment and its effect on cells as a binary concept (with or without alignment), the reproducibility of the new stress-controlled method provides a reliable handle to fine tune alignment and systematically investigate its effect on living cells. This opens </w:t>
      </w:r>
      <w:r w:rsidRPr="00A93A6F">
        <w:lastRenderedPageBreak/>
        <w:t xml:space="preserve">up possibilities for further studies focusing on the link between cellular phenotype and 3D anisotropy over well-defined ranges of alignment. </w:t>
      </w:r>
    </w:p>
    <w:p w14:paraId="6F0C0D5E" w14:textId="77777777" w:rsidR="00437BE5" w:rsidRPr="00A93A6F" w:rsidRDefault="00437BE5" w:rsidP="00437BE5">
      <w:pPr>
        <w:pStyle w:val="MainText"/>
        <w:spacing w:line="360" w:lineRule="auto"/>
      </w:pPr>
    </w:p>
    <w:p w14:paraId="3C69C59C" w14:textId="77777777" w:rsidR="00437BE5" w:rsidRPr="00A93A6F" w:rsidRDefault="00437BE5" w:rsidP="00FD4372">
      <w:pPr>
        <w:pStyle w:val="Head1"/>
      </w:pPr>
      <w:r w:rsidRPr="00A93A6F">
        <w:t>Acknowledgements</w:t>
      </w:r>
    </w:p>
    <w:p w14:paraId="40CED241" w14:textId="77777777" w:rsidR="00437BE5" w:rsidRPr="00A93A6F" w:rsidRDefault="00437BE5" w:rsidP="00437BE5">
      <w:pPr>
        <w:pStyle w:val="MainText"/>
        <w:spacing w:line="360" w:lineRule="auto"/>
      </w:pPr>
      <w:r w:rsidRPr="00A93A6F">
        <w:t>L. Dedroog acknowledges the financial support by the Flanders Research Foundation (FWO) – strategic basic research doctoral grant 1S65722N. C. Bartic, P. Lettinga, W. Thielemans and O. Deschaume acknowledge the financial support by the Flanders Research Foundation (Grant no. G0947.17N) and KU Leuven research fund grant no. C14/18/061.</w:t>
      </w:r>
    </w:p>
    <w:p w14:paraId="5964E69F" w14:textId="77777777" w:rsidR="00437BE5" w:rsidRPr="00A93A6F" w:rsidRDefault="00437BE5" w:rsidP="00437BE5">
      <w:pPr>
        <w:pStyle w:val="MainText"/>
        <w:spacing w:line="360" w:lineRule="auto"/>
      </w:pPr>
    </w:p>
    <w:p w14:paraId="0EF047E4" w14:textId="77777777" w:rsidR="00437BE5" w:rsidRPr="00A93A6F" w:rsidRDefault="00437BE5" w:rsidP="00437BE5">
      <w:pPr>
        <w:pStyle w:val="MainText"/>
        <w:spacing w:line="360" w:lineRule="auto"/>
        <w:rPr>
          <w:b/>
          <w:bCs/>
        </w:rPr>
      </w:pPr>
      <w:r w:rsidRPr="00A93A6F">
        <w:rPr>
          <w:b/>
          <w:bCs/>
        </w:rPr>
        <w:t>References</w:t>
      </w:r>
    </w:p>
    <w:p w14:paraId="33795938" w14:textId="4192DE21" w:rsidR="00ED1620" w:rsidRPr="00A93A6F" w:rsidRDefault="00437BE5" w:rsidP="00ED1620">
      <w:pPr>
        <w:widowControl w:val="0"/>
        <w:autoSpaceDE w:val="0"/>
        <w:autoSpaceDN w:val="0"/>
        <w:adjustRightInd w:val="0"/>
        <w:spacing w:line="360" w:lineRule="auto"/>
        <w:ind w:left="640" w:hanging="640"/>
        <w:rPr>
          <w:noProof/>
        </w:rPr>
      </w:pPr>
      <w:r w:rsidRPr="00A93A6F">
        <w:fldChar w:fldCharType="begin" w:fldLock="1"/>
      </w:r>
      <w:r w:rsidRPr="00A93A6F">
        <w:rPr>
          <w:lang w:val="en-US"/>
        </w:rPr>
        <w:instrText xml:space="preserve">ADDIN Mendeley Bibliography CSL_BIBLIOGRAPHY </w:instrText>
      </w:r>
      <w:r w:rsidRPr="00A93A6F">
        <w:fldChar w:fldCharType="separate"/>
      </w:r>
      <w:r w:rsidR="00ED1620" w:rsidRPr="00A93A6F">
        <w:rPr>
          <w:noProof/>
        </w:rPr>
        <w:t>[1]</w:t>
      </w:r>
      <w:r w:rsidR="00ED1620" w:rsidRPr="00A93A6F">
        <w:rPr>
          <w:noProof/>
        </w:rPr>
        <w:tab/>
        <w:t>B.M. Baker, C.S. Chen, Deconstructing the third dimension-how 3D culture microenvironments alter cellular cues, J. Cell Sci. 125 (2012) 3015–3024. https://doi.org/10.1242/jcs.079509.</w:t>
      </w:r>
    </w:p>
    <w:p w14:paraId="51607B21" w14:textId="77777777" w:rsidR="00ED1620" w:rsidRPr="00A93A6F" w:rsidRDefault="00ED1620" w:rsidP="00ED1620">
      <w:pPr>
        <w:widowControl w:val="0"/>
        <w:autoSpaceDE w:val="0"/>
        <w:autoSpaceDN w:val="0"/>
        <w:adjustRightInd w:val="0"/>
        <w:spacing w:line="360" w:lineRule="auto"/>
        <w:ind w:left="640" w:hanging="640"/>
        <w:rPr>
          <w:noProof/>
        </w:rPr>
      </w:pPr>
      <w:r w:rsidRPr="00A93A6F">
        <w:rPr>
          <w:noProof/>
        </w:rPr>
        <w:t>[2]</w:t>
      </w:r>
      <w:r w:rsidRPr="00A93A6F">
        <w:rPr>
          <w:noProof/>
        </w:rPr>
        <w:tab/>
        <w:t>K. Dzobo, N.E. Thomford, D.A. Senthebane, H. Shipanga, A. Rowe, C. Dandara, M. Pillay, K.S.C.M. Motaung, Advances in regenerative medicine and tissue engineering: Innovation and transformation of medicine, Stem Cells Int. 2018 (2018). https://doi.org/10.1155/2018/2495848.</w:t>
      </w:r>
    </w:p>
    <w:p w14:paraId="7D608D42" w14:textId="77777777" w:rsidR="00ED1620" w:rsidRPr="00A93A6F" w:rsidRDefault="00ED1620" w:rsidP="00ED1620">
      <w:pPr>
        <w:widowControl w:val="0"/>
        <w:autoSpaceDE w:val="0"/>
        <w:autoSpaceDN w:val="0"/>
        <w:adjustRightInd w:val="0"/>
        <w:spacing w:line="360" w:lineRule="auto"/>
        <w:ind w:left="640" w:hanging="640"/>
        <w:rPr>
          <w:noProof/>
        </w:rPr>
      </w:pPr>
      <w:r w:rsidRPr="00A93A6F">
        <w:rPr>
          <w:noProof/>
        </w:rPr>
        <w:t>[3]</w:t>
      </w:r>
      <w:r w:rsidRPr="00A93A6F">
        <w:rPr>
          <w:noProof/>
        </w:rPr>
        <w:tab/>
        <w:t>T.T.K. Vuong-Brender, M. Ben Amar, J. Pontabry, M. Labouesse, The interplay of stiffness and force anisotropies drives embryo elongation, Elife. 6 (2017). https://doi.org/10.7554/eLife.23866.</w:t>
      </w:r>
    </w:p>
    <w:p w14:paraId="7C1808DF" w14:textId="77777777" w:rsidR="00ED1620" w:rsidRPr="00A93A6F" w:rsidRDefault="00ED1620" w:rsidP="00ED1620">
      <w:pPr>
        <w:widowControl w:val="0"/>
        <w:autoSpaceDE w:val="0"/>
        <w:autoSpaceDN w:val="0"/>
        <w:adjustRightInd w:val="0"/>
        <w:spacing w:line="360" w:lineRule="auto"/>
        <w:ind w:left="640" w:hanging="640"/>
        <w:rPr>
          <w:noProof/>
        </w:rPr>
      </w:pPr>
      <w:r w:rsidRPr="00A93A6F">
        <w:rPr>
          <w:noProof/>
        </w:rPr>
        <w:t>[4]</w:t>
      </w:r>
      <w:r w:rsidRPr="00A93A6F">
        <w:rPr>
          <w:noProof/>
        </w:rPr>
        <w:tab/>
        <w:t>X. Wang, M. Merkel, L.B. Sutter, G. Erdemci-Tandogan, M.L. Manning, K.E. Kasza, Anisotropy links cell shapes to tissue flow during convergent extension, Proc. Natl. Acad. Sci. U. S. A. 117 (2020) 13541–13551. https://doi.org/10.1073/pnas.1916418117.</w:t>
      </w:r>
    </w:p>
    <w:p w14:paraId="4119426E" w14:textId="77777777" w:rsidR="00ED1620" w:rsidRPr="00A93A6F" w:rsidRDefault="00ED1620" w:rsidP="00ED1620">
      <w:pPr>
        <w:widowControl w:val="0"/>
        <w:autoSpaceDE w:val="0"/>
        <w:autoSpaceDN w:val="0"/>
        <w:adjustRightInd w:val="0"/>
        <w:spacing w:line="360" w:lineRule="auto"/>
        <w:ind w:left="640" w:hanging="640"/>
        <w:rPr>
          <w:noProof/>
        </w:rPr>
      </w:pPr>
      <w:r w:rsidRPr="00A93A6F">
        <w:rPr>
          <w:noProof/>
        </w:rPr>
        <w:t>[5]</w:t>
      </w:r>
      <w:r w:rsidRPr="00A93A6F">
        <w:rPr>
          <w:noProof/>
        </w:rPr>
        <w:tab/>
        <w:t>C.J.G. Abrego, L. Dedroog, O. Deschaume, J. Wellens, A. Vananroye, M.P. Lettinga, J. Patterson, C. Bartic, Multiscale Characterization of the Mechanical Properties of Fibrin and Polyethylene Glycol (PEG) Hydrogels for Tissue Engineering Applications, Macromol. Chem. Phys. (2021) 2100366. https://doi.org/10.1002/macp.202100366.</w:t>
      </w:r>
    </w:p>
    <w:p w14:paraId="011653B3" w14:textId="77777777" w:rsidR="00ED1620" w:rsidRPr="00A93A6F" w:rsidRDefault="00ED1620" w:rsidP="00ED1620">
      <w:pPr>
        <w:widowControl w:val="0"/>
        <w:autoSpaceDE w:val="0"/>
        <w:autoSpaceDN w:val="0"/>
        <w:adjustRightInd w:val="0"/>
        <w:spacing w:line="360" w:lineRule="auto"/>
        <w:ind w:left="640" w:hanging="640"/>
        <w:rPr>
          <w:noProof/>
        </w:rPr>
      </w:pPr>
      <w:r w:rsidRPr="00A93A6F">
        <w:rPr>
          <w:noProof/>
        </w:rPr>
        <w:t>[6]</w:t>
      </w:r>
      <w:r w:rsidRPr="00A93A6F">
        <w:rPr>
          <w:noProof/>
        </w:rPr>
        <w:tab/>
        <w:t>K. Esbona, Y. Yi, S. Saha, M. Yu, R.R. Van Doorn, M.W. Conklin, D.S. Graham, K.B. Wisinski, S.M. Ponik, K.W. Eliceiri, L.G. Wilke, P.J. Keely, The Presence of Cyclooxygenase 2, Tumor-Associated Macrophages, and Collagen Alignment as Prognostic Markers for Invasive Breast Carcinoma Patients, Am. J. Pathol. 188 (2018) 559–573. https://doi.org/10.1016/j.ajpath.2017.10.025.</w:t>
      </w:r>
    </w:p>
    <w:p w14:paraId="5095B66B" w14:textId="77777777" w:rsidR="00ED1620" w:rsidRPr="00A93A6F" w:rsidRDefault="00ED1620" w:rsidP="00ED1620">
      <w:pPr>
        <w:widowControl w:val="0"/>
        <w:autoSpaceDE w:val="0"/>
        <w:autoSpaceDN w:val="0"/>
        <w:adjustRightInd w:val="0"/>
        <w:spacing w:line="360" w:lineRule="auto"/>
        <w:ind w:left="640" w:hanging="640"/>
        <w:rPr>
          <w:noProof/>
        </w:rPr>
      </w:pPr>
      <w:r w:rsidRPr="00A93A6F">
        <w:rPr>
          <w:noProof/>
        </w:rPr>
        <w:t>[7]</w:t>
      </w:r>
      <w:r w:rsidRPr="00A93A6F">
        <w:rPr>
          <w:noProof/>
        </w:rPr>
        <w:tab/>
        <w:t xml:space="preserve">M.W. Conklin, R.E. Gangnon, B.L. Sprague, L. Van Gemert, J.M. Hampton, K.W. </w:t>
      </w:r>
      <w:r w:rsidRPr="00A93A6F">
        <w:rPr>
          <w:noProof/>
        </w:rPr>
        <w:lastRenderedPageBreak/>
        <w:t>Eliceiri, J.S. Bredfeldt, Y. Liu, N. Surachaicharn, P.A. Newcomb, A. Friedl, P.J. Keely, A. Trentham-Dietz, Collagen alignment as a predictor of recurrence after ductal carcinoma in situ, Cancer Epidemiol. Biomarkers Prev. 27 (2018) 138–145. https://doi.org/10.1158/1055-9965.EPI-17-0720.</w:t>
      </w:r>
    </w:p>
    <w:p w14:paraId="1A841026" w14:textId="77777777" w:rsidR="00ED1620" w:rsidRPr="00A93A6F" w:rsidRDefault="00ED1620" w:rsidP="00ED1620">
      <w:pPr>
        <w:widowControl w:val="0"/>
        <w:autoSpaceDE w:val="0"/>
        <w:autoSpaceDN w:val="0"/>
        <w:adjustRightInd w:val="0"/>
        <w:spacing w:line="360" w:lineRule="auto"/>
        <w:ind w:left="640" w:hanging="640"/>
        <w:rPr>
          <w:noProof/>
        </w:rPr>
      </w:pPr>
      <w:r w:rsidRPr="00A93A6F">
        <w:rPr>
          <w:noProof/>
        </w:rPr>
        <w:t>[8]</w:t>
      </w:r>
      <w:r w:rsidRPr="00A93A6F">
        <w:rPr>
          <w:noProof/>
        </w:rPr>
        <w:tab/>
        <w:t>A. Ray, Z.M. Slama, R.K. Morford, S.A. Madden, P.P. Provenzano, Enhanced Directional Migration of Cancer Stem Cells in 3D Aligned Collagen Matrices, Biophys. J. 112 (2017) 1023–1036. https://doi.org/10.1016/j.bpj.2017.01.007.</w:t>
      </w:r>
    </w:p>
    <w:p w14:paraId="576C489C" w14:textId="77777777" w:rsidR="00ED1620" w:rsidRPr="00A93A6F" w:rsidRDefault="00ED1620" w:rsidP="00ED1620">
      <w:pPr>
        <w:widowControl w:val="0"/>
        <w:autoSpaceDE w:val="0"/>
        <w:autoSpaceDN w:val="0"/>
        <w:adjustRightInd w:val="0"/>
        <w:spacing w:line="360" w:lineRule="auto"/>
        <w:ind w:left="640" w:hanging="640"/>
        <w:rPr>
          <w:noProof/>
        </w:rPr>
      </w:pPr>
      <w:r w:rsidRPr="00A93A6F">
        <w:rPr>
          <w:noProof/>
        </w:rPr>
        <w:t>[9]</w:t>
      </w:r>
      <w:r w:rsidRPr="00A93A6F">
        <w:rPr>
          <w:noProof/>
        </w:rPr>
        <w:tab/>
        <w:t>J.K. Mouw, G. Ou, V.M. Weaver, Extracellular matrix assembly: A multiscale deconstruction, Nat. Rev. Mol. Cell Biol. 15 (2014) 771–785. https://doi.org/10.1038/nrm3902.</w:t>
      </w:r>
    </w:p>
    <w:p w14:paraId="702A7B76" w14:textId="77777777" w:rsidR="00ED1620" w:rsidRPr="00A93A6F" w:rsidRDefault="00ED1620" w:rsidP="00ED1620">
      <w:pPr>
        <w:widowControl w:val="0"/>
        <w:autoSpaceDE w:val="0"/>
        <w:autoSpaceDN w:val="0"/>
        <w:adjustRightInd w:val="0"/>
        <w:spacing w:line="360" w:lineRule="auto"/>
        <w:ind w:left="640" w:hanging="640"/>
        <w:rPr>
          <w:noProof/>
        </w:rPr>
      </w:pPr>
      <w:r w:rsidRPr="00A93A6F">
        <w:rPr>
          <w:noProof/>
        </w:rPr>
        <w:t>[10]</w:t>
      </w:r>
      <w:r w:rsidRPr="00A93A6F">
        <w:rPr>
          <w:noProof/>
        </w:rPr>
        <w:tab/>
        <w:t>R. Devolder, H.J. Kong, Hydrogels for in vivo-like three-dimensional cellular studies, Wiley Interdiscip. Rev. Syst. Biol. Med. 4 (2012) 351–365. https://doi.org/10.1002/wsbm.1174.</w:t>
      </w:r>
    </w:p>
    <w:p w14:paraId="28CF4233" w14:textId="77777777" w:rsidR="00ED1620" w:rsidRPr="00A93A6F" w:rsidRDefault="00ED1620" w:rsidP="00ED1620">
      <w:pPr>
        <w:widowControl w:val="0"/>
        <w:autoSpaceDE w:val="0"/>
        <w:autoSpaceDN w:val="0"/>
        <w:adjustRightInd w:val="0"/>
        <w:spacing w:line="360" w:lineRule="auto"/>
        <w:ind w:left="640" w:hanging="640"/>
        <w:rPr>
          <w:noProof/>
        </w:rPr>
      </w:pPr>
      <w:r w:rsidRPr="00A93A6F">
        <w:rPr>
          <w:noProof/>
        </w:rPr>
        <w:t>[11]</w:t>
      </w:r>
      <w:r w:rsidRPr="00A93A6F">
        <w:rPr>
          <w:noProof/>
        </w:rPr>
        <w:tab/>
        <w:t>G. Montalbano, S. Toumpaniari, A. Popov, P. Duan, J. Chen, K. Dalgarno, W.E. Scott, A.M. Ferreira, Synthesis of bioinspired collagen/alginate/fibrin based hydrogels for soft tissue engineering, Mater. Sci. Eng. C. 91 (2018) 236–246. https://doi.org/10.1016/j.msec.2018.04.101.</w:t>
      </w:r>
    </w:p>
    <w:p w14:paraId="322B5A65" w14:textId="77777777" w:rsidR="00ED1620" w:rsidRPr="00A93A6F" w:rsidRDefault="00ED1620" w:rsidP="00ED1620">
      <w:pPr>
        <w:widowControl w:val="0"/>
        <w:autoSpaceDE w:val="0"/>
        <w:autoSpaceDN w:val="0"/>
        <w:adjustRightInd w:val="0"/>
        <w:spacing w:line="360" w:lineRule="auto"/>
        <w:ind w:left="640" w:hanging="640"/>
        <w:rPr>
          <w:noProof/>
        </w:rPr>
      </w:pPr>
      <w:r w:rsidRPr="00A93A6F">
        <w:rPr>
          <w:noProof/>
        </w:rPr>
        <w:t>[12]</w:t>
      </w:r>
      <w:r w:rsidRPr="00A93A6F">
        <w:rPr>
          <w:noProof/>
        </w:rPr>
        <w:tab/>
        <w:t>Y.L. Yang, L.J. Kaufman, Rheology and confocal reflectance microscopy as probes of mechanical properties and structure during collagen and collagen/hyaluronan self-assembly, Biophys. J. 96 (2009) 1566–1585. https://doi.org/10.1016/j.bpj.2008.10.063.</w:t>
      </w:r>
    </w:p>
    <w:p w14:paraId="4437B38D" w14:textId="77777777" w:rsidR="00ED1620" w:rsidRPr="00A93A6F" w:rsidRDefault="00ED1620" w:rsidP="00ED1620">
      <w:pPr>
        <w:widowControl w:val="0"/>
        <w:autoSpaceDE w:val="0"/>
        <w:autoSpaceDN w:val="0"/>
        <w:adjustRightInd w:val="0"/>
        <w:spacing w:line="360" w:lineRule="auto"/>
        <w:ind w:left="640" w:hanging="640"/>
        <w:rPr>
          <w:noProof/>
        </w:rPr>
      </w:pPr>
      <w:r w:rsidRPr="00A93A6F">
        <w:rPr>
          <w:noProof/>
        </w:rPr>
        <w:t>[13]</w:t>
      </w:r>
      <w:r w:rsidRPr="00A93A6F">
        <w:rPr>
          <w:noProof/>
        </w:rPr>
        <w:tab/>
        <w:t>G. Cox, E. Kable, A. Jones, I. Fraser, F. Manconi, M.D. Gorrell, 3-Dimensional imaging of collagen using second harmonic generation, J. Struct. Biol. 141 (2003) 53–62. https://doi.org/10.1016/S1047-8477(02)00576-2.</w:t>
      </w:r>
    </w:p>
    <w:p w14:paraId="27F0006A" w14:textId="77777777" w:rsidR="00ED1620" w:rsidRPr="00A93A6F" w:rsidRDefault="00ED1620" w:rsidP="00ED1620">
      <w:pPr>
        <w:widowControl w:val="0"/>
        <w:autoSpaceDE w:val="0"/>
        <w:autoSpaceDN w:val="0"/>
        <w:adjustRightInd w:val="0"/>
        <w:spacing w:line="360" w:lineRule="auto"/>
        <w:ind w:left="640" w:hanging="640"/>
        <w:rPr>
          <w:noProof/>
        </w:rPr>
      </w:pPr>
      <w:r w:rsidRPr="00A93A6F">
        <w:rPr>
          <w:noProof/>
        </w:rPr>
        <w:t>[14]</w:t>
      </w:r>
      <w:r w:rsidRPr="00A93A6F">
        <w:rPr>
          <w:noProof/>
        </w:rPr>
        <w:tab/>
        <w:t>J.H. Lee, S. Lee, C.J. Yoon, J.H. Park, H. Tchah, M.J. Kim, K.H. Kim, Comparison of reflectance confocal microscopy and two-photon second harmonic generation microscopy in fungal keratitis rabbit model ex vivo, Biomed. Opt. Express. 7 (2016) 677. https://doi.org/10.1364/BOE.7.000677.</w:t>
      </w:r>
    </w:p>
    <w:p w14:paraId="3D4CB454" w14:textId="77777777" w:rsidR="00ED1620" w:rsidRPr="00A93A6F" w:rsidRDefault="00ED1620" w:rsidP="00ED1620">
      <w:pPr>
        <w:widowControl w:val="0"/>
        <w:autoSpaceDE w:val="0"/>
        <w:autoSpaceDN w:val="0"/>
        <w:adjustRightInd w:val="0"/>
        <w:spacing w:line="360" w:lineRule="auto"/>
        <w:ind w:left="640" w:hanging="640"/>
        <w:rPr>
          <w:noProof/>
        </w:rPr>
      </w:pPr>
      <w:r w:rsidRPr="00A93A6F">
        <w:rPr>
          <w:noProof/>
        </w:rPr>
        <w:t>[15]</w:t>
      </w:r>
      <w:r w:rsidRPr="00A93A6F">
        <w:rPr>
          <w:noProof/>
        </w:rPr>
        <w:tab/>
        <w:t>E. Hase, T. Yasui, Orientation analysis of collagen fibers in skin by using polarization-resolved second-harmonic generation microscopy, https://doi.org/10.1117/12.2613415. PC11934 (2022) PC1193408. https://doi.org/10.1117/12.2613415.</w:t>
      </w:r>
    </w:p>
    <w:p w14:paraId="42AEE1D8" w14:textId="77777777" w:rsidR="00ED1620" w:rsidRPr="00A93A6F" w:rsidRDefault="00ED1620" w:rsidP="00ED1620">
      <w:pPr>
        <w:widowControl w:val="0"/>
        <w:autoSpaceDE w:val="0"/>
        <w:autoSpaceDN w:val="0"/>
        <w:adjustRightInd w:val="0"/>
        <w:spacing w:line="360" w:lineRule="auto"/>
        <w:ind w:left="640" w:hanging="640"/>
        <w:rPr>
          <w:noProof/>
        </w:rPr>
      </w:pPr>
      <w:r w:rsidRPr="00A93A6F">
        <w:rPr>
          <w:noProof/>
        </w:rPr>
        <w:t>[16]</w:t>
      </w:r>
      <w:r w:rsidRPr="00A93A6F">
        <w:rPr>
          <w:noProof/>
        </w:rPr>
        <w:tab/>
        <w:t>Y.S. Zhang, J. Aleman, A. Arneri, S. Bersini, F. Piraino, S.R. Shin, M.R. Dokmeci, A. Khademhosseini, From cardiac tissue engineering to heart-on-a-chip: Beating challenges, Biomed. Mater. 10 (2015). https://doi.org/10.1088/1748-6041/10/3/034006.</w:t>
      </w:r>
    </w:p>
    <w:p w14:paraId="4A1AE174" w14:textId="77777777" w:rsidR="00ED1620" w:rsidRPr="00A93A6F" w:rsidRDefault="00ED1620" w:rsidP="00ED1620">
      <w:pPr>
        <w:widowControl w:val="0"/>
        <w:autoSpaceDE w:val="0"/>
        <w:autoSpaceDN w:val="0"/>
        <w:adjustRightInd w:val="0"/>
        <w:spacing w:line="360" w:lineRule="auto"/>
        <w:ind w:left="640" w:hanging="640"/>
        <w:rPr>
          <w:noProof/>
        </w:rPr>
      </w:pPr>
      <w:r w:rsidRPr="00A93A6F">
        <w:rPr>
          <w:noProof/>
        </w:rPr>
        <w:t>[17]</w:t>
      </w:r>
      <w:r w:rsidRPr="00A93A6F">
        <w:rPr>
          <w:noProof/>
        </w:rPr>
        <w:tab/>
        <w:t xml:space="preserve">A.R. Gillies, R.L. Lieber, Structure and function of the skeletal muscle extracellular </w:t>
      </w:r>
      <w:r w:rsidRPr="00A93A6F">
        <w:rPr>
          <w:noProof/>
        </w:rPr>
        <w:lastRenderedPageBreak/>
        <w:t>matrix, Muscle and Nerve. 44 (2011) 318–331. https://doi.org/10.1002/mus.22094.</w:t>
      </w:r>
    </w:p>
    <w:p w14:paraId="0447EBA5" w14:textId="77777777" w:rsidR="00ED1620" w:rsidRPr="00A93A6F" w:rsidRDefault="00ED1620" w:rsidP="00ED1620">
      <w:pPr>
        <w:widowControl w:val="0"/>
        <w:autoSpaceDE w:val="0"/>
        <w:autoSpaceDN w:val="0"/>
        <w:adjustRightInd w:val="0"/>
        <w:spacing w:line="360" w:lineRule="auto"/>
        <w:ind w:left="640" w:hanging="640"/>
        <w:rPr>
          <w:noProof/>
        </w:rPr>
      </w:pPr>
      <w:r w:rsidRPr="00A93A6F">
        <w:rPr>
          <w:noProof/>
        </w:rPr>
        <w:t>[18]</w:t>
      </w:r>
      <w:r w:rsidRPr="00A93A6F">
        <w:rPr>
          <w:noProof/>
        </w:rPr>
        <w:tab/>
        <w:t>Z. Y., D. Garciadiego-Czares, C. Parra- Cid, R. Aguilar-Gaytn, C. Velasquillo, C. Ibarra, J.S. Castro Carmo, Cartilage Tissue Engineering: The Role of Extracellular Matrix (ECM) and Novel Strategies, in: Regen. Med. Tissue Eng., IntechOpen, 2013. https://doi.org/10.5772/55917.</w:t>
      </w:r>
    </w:p>
    <w:p w14:paraId="5627DDE0" w14:textId="77777777" w:rsidR="00ED1620" w:rsidRPr="00A93A6F" w:rsidRDefault="00ED1620" w:rsidP="00ED1620">
      <w:pPr>
        <w:widowControl w:val="0"/>
        <w:autoSpaceDE w:val="0"/>
        <w:autoSpaceDN w:val="0"/>
        <w:adjustRightInd w:val="0"/>
        <w:spacing w:line="360" w:lineRule="auto"/>
        <w:ind w:left="640" w:hanging="640"/>
        <w:rPr>
          <w:noProof/>
        </w:rPr>
      </w:pPr>
      <w:r w:rsidRPr="00A93A6F">
        <w:rPr>
          <w:noProof/>
        </w:rPr>
        <w:t>[19]</w:t>
      </w:r>
      <w:r w:rsidRPr="00A93A6F">
        <w:rPr>
          <w:noProof/>
        </w:rPr>
        <w:tab/>
        <w:t>J.F. Ribeiro, E.H.M. dos Anjos, M.L.S. Mello, B. de Campos Vidal, Skin Collagen Fiber Molecular Order: A Pattern of Distributional Fiber Orientation as Assessed by Optical Anisotropy and Image Analysis, PLoS One. 8 (2013). https://doi.org/10.1371/journal.pone.0054724.</w:t>
      </w:r>
    </w:p>
    <w:p w14:paraId="5277B869" w14:textId="77777777" w:rsidR="00ED1620" w:rsidRPr="00A93A6F" w:rsidRDefault="00ED1620" w:rsidP="00ED1620">
      <w:pPr>
        <w:widowControl w:val="0"/>
        <w:autoSpaceDE w:val="0"/>
        <w:autoSpaceDN w:val="0"/>
        <w:adjustRightInd w:val="0"/>
        <w:spacing w:line="360" w:lineRule="auto"/>
        <w:ind w:left="640" w:hanging="640"/>
        <w:rPr>
          <w:noProof/>
        </w:rPr>
      </w:pPr>
      <w:r w:rsidRPr="00A93A6F">
        <w:rPr>
          <w:noProof/>
        </w:rPr>
        <w:t>[20]</w:t>
      </w:r>
      <w:r w:rsidRPr="00A93A6F">
        <w:rPr>
          <w:noProof/>
        </w:rPr>
        <w:tab/>
        <w:t>J. Foolen, S.L. Wunderli, S. Loerakker, J.G. Snedeker, Tissue alignment enhances remodeling potential of tendon-derived cells - Lessons from a novel microtissue model of tendon scarring, Matrix Biol. 65 (2018) 14–29. https://doi.org/10.1016/j.matbio.2017.06.002.</w:t>
      </w:r>
    </w:p>
    <w:p w14:paraId="55EA6C69" w14:textId="77777777" w:rsidR="00ED1620" w:rsidRPr="00A93A6F" w:rsidRDefault="00ED1620" w:rsidP="00ED1620">
      <w:pPr>
        <w:widowControl w:val="0"/>
        <w:autoSpaceDE w:val="0"/>
        <w:autoSpaceDN w:val="0"/>
        <w:adjustRightInd w:val="0"/>
        <w:spacing w:line="360" w:lineRule="auto"/>
        <w:ind w:left="640" w:hanging="640"/>
        <w:rPr>
          <w:noProof/>
        </w:rPr>
      </w:pPr>
      <w:r w:rsidRPr="00A93A6F">
        <w:rPr>
          <w:noProof/>
        </w:rPr>
        <w:t>[21]</w:t>
      </w:r>
      <w:r w:rsidRPr="00A93A6F">
        <w:rPr>
          <w:noProof/>
        </w:rPr>
        <w:tab/>
        <w:t>P. Camelliti, J.O. Gallagher, P. Kohl, A.D. McCulloch, Micropatterned cell cultures on elastic membranes as an in vitro model of myocardium, Nat. Protoc. 1 (2006) 1379–1391. https://doi.org/10.1038/nprot.2006.203.</w:t>
      </w:r>
    </w:p>
    <w:p w14:paraId="1D4DD0F0" w14:textId="77777777" w:rsidR="00ED1620" w:rsidRPr="00A93A6F" w:rsidRDefault="00ED1620" w:rsidP="00ED1620">
      <w:pPr>
        <w:widowControl w:val="0"/>
        <w:autoSpaceDE w:val="0"/>
        <w:autoSpaceDN w:val="0"/>
        <w:adjustRightInd w:val="0"/>
        <w:spacing w:line="360" w:lineRule="auto"/>
        <w:ind w:left="640" w:hanging="640"/>
        <w:rPr>
          <w:noProof/>
        </w:rPr>
      </w:pPr>
      <w:r w:rsidRPr="00A93A6F">
        <w:rPr>
          <w:noProof/>
        </w:rPr>
        <w:t>[22]</w:t>
      </w:r>
      <w:r w:rsidRPr="00A93A6F">
        <w:rPr>
          <w:noProof/>
        </w:rPr>
        <w:tab/>
        <w:t>C. Simitzi, P. Efstathopoulos, A. Kourgiantaki, A. Ranella, I. Charalampopoulos, C. Fotakis, I. Athanassakis, E. Stratakis, A. Gravanis, Laser fabricated discontinuous anisotropic microconical substrates as a new model scaffold to control the directionality of neuronal network outgrowth, Biomaterials. 67 (2015) 115–128. https://doi.org/10.1016/j.biomaterials.2015.07.008.</w:t>
      </w:r>
    </w:p>
    <w:p w14:paraId="4D554407" w14:textId="77777777" w:rsidR="00ED1620" w:rsidRPr="00A93A6F" w:rsidRDefault="00ED1620" w:rsidP="00ED1620">
      <w:pPr>
        <w:widowControl w:val="0"/>
        <w:autoSpaceDE w:val="0"/>
        <w:autoSpaceDN w:val="0"/>
        <w:adjustRightInd w:val="0"/>
        <w:spacing w:line="360" w:lineRule="auto"/>
        <w:ind w:left="640" w:hanging="640"/>
        <w:rPr>
          <w:noProof/>
        </w:rPr>
      </w:pPr>
      <w:r w:rsidRPr="00A93A6F">
        <w:rPr>
          <w:noProof/>
        </w:rPr>
        <w:t>[23]</w:t>
      </w:r>
      <w:r w:rsidRPr="00A93A6F">
        <w:rPr>
          <w:noProof/>
        </w:rPr>
        <w:tab/>
        <w:t>R. Ozasa, A. Matsugaki, Y. Isobe, T. Saku, H.S. Yun, T. Nakano, Construction of human induced pluripotent stem cell-derived oriented bone matrix microstructure by using in vitro engineered anisotropic culture model, J. Biomed. Mater. Res. - Part A. 106 (2018) 360–369. https://doi.org/10.1002/jbm.a.36238.</w:t>
      </w:r>
    </w:p>
    <w:p w14:paraId="5B1FAD43" w14:textId="77777777" w:rsidR="00ED1620" w:rsidRPr="00A93A6F" w:rsidRDefault="00ED1620" w:rsidP="00ED1620">
      <w:pPr>
        <w:widowControl w:val="0"/>
        <w:autoSpaceDE w:val="0"/>
        <w:autoSpaceDN w:val="0"/>
        <w:adjustRightInd w:val="0"/>
        <w:spacing w:line="360" w:lineRule="auto"/>
        <w:ind w:left="640" w:hanging="640"/>
        <w:rPr>
          <w:noProof/>
        </w:rPr>
      </w:pPr>
      <w:r w:rsidRPr="00A93A6F">
        <w:rPr>
          <w:noProof/>
        </w:rPr>
        <w:t>[24]</w:t>
      </w:r>
      <w:r w:rsidRPr="00A93A6F">
        <w:rPr>
          <w:noProof/>
        </w:rPr>
        <w:tab/>
        <w:t>T.J. Puls, X. Tan, M. Husain, C.F. Whittington, M.L. Fishel, S.L. Voytik-Harbin, Development of a Novel 3D Tumor-tissue Invasion Model for High-throughput, High-content Phenotypic Drug Screening, Sci. Rep. 8 (2018). https://doi.org/10.1038/s41598-018-31138-6.</w:t>
      </w:r>
    </w:p>
    <w:p w14:paraId="6946D2AE" w14:textId="77777777" w:rsidR="00ED1620" w:rsidRPr="00A93A6F" w:rsidRDefault="00ED1620" w:rsidP="00ED1620">
      <w:pPr>
        <w:widowControl w:val="0"/>
        <w:autoSpaceDE w:val="0"/>
        <w:autoSpaceDN w:val="0"/>
        <w:adjustRightInd w:val="0"/>
        <w:spacing w:line="360" w:lineRule="auto"/>
        <w:ind w:left="640" w:hanging="640"/>
        <w:rPr>
          <w:noProof/>
        </w:rPr>
      </w:pPr>
      <w:r w:rsidRPr="00A93A6F">
        <w:rPr>
          <w:noProof/>
        </w:rPr>
        <w:t>[25]</w:t>
      </w:r>
      <w:r w:rsidRPr="00A93A6F">
        <w:rPr>
          <w:noProof/>
        </w:rPr>
        <w:tab/>
        <w:t>C. O’Rourke, R. Drake, J. Loughlin, J. Phillips, Adapting aligned stabilised hydrogels to facilitate large scale drug screening and neurobiological research., Mater. Sci. (2013).</w:t>
      </w:r>
    </w:p>
    <w:p w14:paraId="5D0D5A44" w14:textId="77777777" w:rsidR="00ED1620" w:rsidRPr="00A93A6F" w:rsidRDefault="00ED1620" w:rsidP="00ED1620">
      <w:pPr>
        <w:widowControl w:val="0"/>
        <w:autoSpaceDE w:val="0"/>
        <w:autoSpaceDN w:val="0"/>
        <w:adjustRightInd w:val="0"/>
        <w:spacing w:line="360" w:lineRule="auto"/>
        <w:ind w:left="640" w:hanging="640"/>
        <w:rPr>
          <w:noProof/>
        </w:rPr>
      </w:pPr>
      <w:r w:rsidRPr="00A93A6F">
        <w:rPr>
          <w:noProof/>
        </w:rPr>
        <w:t>[26]</w:t>
      </w:r>
      <w:r w:rsidRPr="00A93A6F">
        <w:rPr>
          <w:noProof/>
        </w:rPr>
        <w:tab/>
        <w:t xml:space="preserve">H. Aubin, J.W. Nichol, C.B. Hutson, H. Bae, A.L. Sieminski, D.M. Cropek, P. Akhyari, A. Khademhosseini, Directed 3D cell alignment and elongation in </w:t>
      </w:r>
      <w:r w:rsidRPr="00A93A6F">
        <w:rPr>
          <w:noProof/>
        </w:rPr>
        <w:lastRenderedPageBreak/>
        <w:t>microengineered hydrogels, Biomaterials. 31 (2010) 6941–6951. https://doi.org/10.1016/j.biomaterials.2010.05.056.</w:t>
      </w:r>
    </w:p>
    <w:p w14:paraId="644CC29C" w14:textId="77777777" w:rsidR="00ED1620" w:rsidRPr="00A93A6F" w:rsidRDefault="00ED1620" w:rsidP="00ED1620">
      <w:pPr>
        <w:widowControl w:val="0"/>
        <w:autoSpaceDE w:val="0"/>
        <w:autoSpaceDN w:val="0"/>
        <w:adjustRightInd w:val="0"/>
        <w:spacing w:line="360" w:lineRule="auto"/>
        <w:ind w:left="640" w:hanging="640"/>
        <w:rPr>
          <w:noProof/>
        </w:rPr>
      </w:pPr>
      <w:r w:rsidRPr="00A93A6F">
        <w:rPr>
          <w:noProof/>
        </w:rPr>
        <w:t>[27]</w:t>
      </w:r>
      <w:r w:rsidRPr="00A93A6F">
        <w:rPr>
          <w:noProof/>
        </w:rPr>
        <w:tab/>
        <w:t>O. V. Cangellaris, M.U. Gillette, Biomaterials for enhancing neuronal repair, Front. Mater. 5 (2018) 21. https://doi.org/10.3389/fmats.2018.00021.</w:t>
      </w:r>
    </w:p>
    <w:p w14:paraId="6FD2C7B1" w14:textId="77777777" w:rsidR="00ED1620" w:rsidRPr="00A93A6F" w:rsidRDefault="00ED1620" w:rsidP="00ED1620">
      <w:pPr>
        <w:widowControl w:val="0"/>
        <w:autoSpaceDE w:val="0"/>
        <w:autoSpaceDN w:val="0"/>
        <w:adjustRightInd w:val="0"/>
        <w:spacing w:line="360" w:lineRule="auto"/>
        <w:ind w:left="640" w:hanging="640"/>
        <w:rPr>
          <w:noProof/>
        </w:rPr>
      </w:pPr>
      <w:r w:rsidRPr="00A93A6F">
        <w:rPr>
          <w:noProof/>
        </w:rPr>
        <w:t>[28]</w:t>
      </w:r>
      <w:r w:rsidRPr="00A93A6F">
        <w:rPr>
          <w:noProof/>
        </w:rPr>
        <w:tab/>
        <w:t>T. Namba, Y. Funahashi, S. Nakamuta, C. Xu, T. Takano, K. Kaibuchi, Extracellular and intracellular signaling for neuronal polarity, Physiol. Rev. 95 (2015) 995–1024. https://doi.org/10.1152/physrev.00025.2014.</w:t>
      </w:r>
    </w:p>
    <w:p w14:paraId="0443B629" w14:textId="77777777" w:rsidR="00ED1620" w:rsidRPr="00A93A6F" w:rsidRDefault="00ED1620" w:rsidP="00ED1620">
      <w:pPr>
        <w:widowControl w:val="0"/>
        <w:autoSpaceDE w:val="0"/>
        <w:autoSpaceDN w:val="0"/>
        <w:adjustRightInd w:val="0"/>
        <w:spacing w:line="360" w:lineRule="auto"/>
        <w:ind w:left="640" w:hanging="640"/>
        <w:rPr>
          <w:noProof/>
        </w:rPr>
      </w:pPr>
      <w:r w:rsidRPr="00A93A6F">
        <w:rPr>
          <w:noProof/>
        </w:rPr>
        <w:t>[29]</w:t>
      </w:r>
      <w:r w:rsidRPr="00A93A6F">
        <w:rPr>
          <w:noProof/>
        </w:rPr>
        <w:tab/>
        <w:t>A. Ahmed, I.M. Joshi, M. Mansouri, N.N.N. Ahamed, M.C. Hsu, T.R. Gaborski, V. V. Abhyankar, Engineering fiber anisotropy within natural collagen hydrogels, Am. J. Physiol. - Cell Physiol. 320 (2021) C1112–C1124. https://doi.org/10.1152/AJPCELL.00036.2021.</w:t>
      </w:r>
    </w:p>
    <w:p w14:paraId="34AFE2E4" w14:textId="77777777" w:rsidR="00ED1620" w:rsidRPr="00A93A6F" w:rsidRDefault="00ED1620" w:rsidP="00ED1620">
      <w:pPr>
        <w:widowControl w:val="0"/>
        <w:autoSpaceDE w:val="0"/>
        <w:autoSpaceDN w:val="0"/>
        <w:adjustRightInd w:val="0"/>
        <w:spacing w:line="360" w:lineRule="auto"/>
        <w:ind w:left="640" w:hanging="640"/>
        <w:rPr>
          <w:noProof/>
        </w:rPr>
      </w:pPr>
      <w:r w:rsidRPr="00A93A6F">
        <w:rPr>
          <w:noProof/>
        </w:rPr>
        <w:t>[30]</w:t>
      </w:r>
      <w:r w:rsidRPr="00A93A6F">
        <w:rPr>
          <w:noProof/>
        </w:rPr>
        <w:tab/>
        <w:t>A. Omidinia-Anarkoli, S. Boesveld, U. Tuvshindorj, J.C. Rose, T. Haraszti, L. De Laporte, An Injectable Hybrid Hydrogel with Oriented Short Fibers Induces Unidirectional Growth of Functional Nerve Cells, Small. 13 (2017). https://doi.org/10.1002/smll.201702207.</w:t>
      </w:r>
    </w:p>
    <w:p w14:paraId="5AA00DCF" w14:textId="77777777" w:rsidR="00ED1620" w:rsidRPr="00A93A6F" w:rsidRDefault="00ED1620" w:rsidP="00ED1620">
      <w:pPr>
        <w:widowControl w:val="0"/>
        <w:autoSpaceDE w:val="0"/>
        <w:autoSpaceDN w:val="0"/>
        <w:adjustRightInd w:val="0"/>
        <w:spacing w:line="360" w:lineRule="auto"/>
        <w:ind w:left="640" w:hanging="640"/>
        <w:rPr>
          <w:noProof/>
        </w:rPr>
      </w:pPr>
      <w:r w:rsidRPr="00A93A6F">
        <w:rPr>
          <w:noProof/>
        </w:rPr>
        <w:t>[31]</w:t>
      </w:r>
      <w:r w:rsidRPr="00A93A6F">
        <w:rPr>
          <w:noProof/>
        </w:rPr>
        <w:tab/>
        <w:t>B.A. Nerger, P.T. Brun, C.M. Nelson, Marangoni flows drive the alignment of fibrillar cell-laden hydrogels, Sci. Adv. 6 (2020) 7748–7760. https://doi.org/10.1126/sciadv.aaz7748.</w:t>
      </w:r>
    </w:p>
    <w:p w14:paraId="493E94E4" w14:textId="77777777" w:rsidR="00ED1620" w:rsidRPr="00A93A6F" w:rsidRDefault="00ED1620" w:rsidP="00ED1620">
      <w:pPr>
        <w:widowControl w:val="0"/>
        <w:autoSpaceDE w:val="0"/>
        <w:autoSpaceDN w:val="0"/>
        <w:adjustRightInd w:val="0"/>
        <w:spacing w:line="360" w:lineRule="auto"/>
        <w:ind w:left="640" w:hanging="640"/>
        <w:rPr>
          <w:noProof/>
        </w:rPr>
      </w:pPr>
      <w:r w:rsidRPr="00A93A6F">
        <w:rPr>
          <w:noProof/>
        </w:rPr>
        <w:t>[32]</w:t>
      </w:r>
      <w:r w:rsidRPr="00A93A6F">
        <w:rPr>
          <w:noProof/>
        </w:rPr>
        <w:tab/>
        <w:t>B.A. Nerger, P.T. Brun, C.M. Nelson, Microextrusion printing cell-laden networks of type i collagen with patterned fiber alignment and geometry, Soft Matter. 15 (2019) 5728–5738. https://doi.org/10.1039/c8sm02605j.</w:t>
      </w:r>
    </w:p>
    <w:p w14:paraId="00E2CEBE" w14:textId="77777777" w:rsidR="00ED1620" w:rsidRPr="00A93A6F" w:rsidRDefault="00ED1620" w:rsidP="00ED1620">
      <w:pPr>
        <w:widowControl w:val="0"/>
        <w:autoSpaceDE w:val="0"/>
        <w:autoSpaceDN w:val="0"/>
        <w:adjustRightInd w:val="0"/>
        <w:spacing w:line="360" w:lineRule="auto"/>
        <w:ind w:left="640" w:hanging="640"/>
        <w:rPr>
          <w:noProof/>
        </w:rPr>
      </w:pPr>
      <w:r w:rsidRPr="00A93A6F">
        <w:rPr>
          <w:noProof/>
        </w:rPr>
        <w:t>[33]</w:t>
      </w:r>
      <w:r w:rsidRPr="00A93A6F">
        <w:rPr>
          <w:noProof/>
        </w:rPr>
        <w:tab/>
        <w:t>A. Schwab, C. Hélary, R.G. Richards, M. Alini, D. Eglin, M. D’Este, Tissue mimetic hyaluronan bioink containing collagen fibers with controlled orientation modulating cell migration and alignment, Mater. Today Bio. 7 (2020). https://doi.org/10.1016/j.mtbio.2020.100058.</w:t>
      </w:r>
    </w:p>
    <w:p w14:paraId="1821EF52" w14:textId="77777777" w:rsidR="00ED1620" w:rsidRPr="00A93A6F" w:rsidRDefault="00ED1620" w:rsidP="00ED1620">
      <w:pPr>
        <w:widowControl w:val="0"/>
        <w:autoSpaceDE w:val="0"/>
        <w:autoSpaceDN w:val="0"/>
        <w:adjustRightInd w:val="0"/>
        <w:spacing w:line="360" w:lineRule="auto"/>
        <w:ind w:left="640" w:hanging="640"/>
        <w:rPr>
          <w:noProof/>
        </w:rPr>
      </w:pPr>
      <w:r w:rsidRPr="00A93A6F">
        <w:rPr>
          <w:noProof/>
        </w:rPr>
        <w:t>[34]</w:t>
      </w:r>
      <w:r w:rsidRPr="00A93A6F">
        <w:rPr>
          <w:noProof/>
        </w:rPr>
        <w:tab/>
        <w:t>H. Kim, J. Jang, J. Park, K.P. Lee, S. Lee, D.M. Lee, K.H. Kim, H.K. Kim, D.W. Cho, Shear-induced alignment of collagen fibrils using 3D cell printing for corneal stroma tissue engineering, Biofabrication. 11 (2019). https://doi.org/10.1088/1758-5090/ab1a8b.</w:t>
      </w:r>
    </w:p>
    <w:p w14:paraId="68E6DB47" w14:textId="77777777" w:rsidR="00ED1620" w:rsidRPr="00A93A6F" w:rsidRDefault="00ED1620" w:rsidP="00ED1620">
      <w:pPr>
        <w:widowControl w:val="0"/>
        <w:autoSpaceDE w:val="0"/>
        <w:autoSpaceDN w:val="0"/>
        <w:adjustRightInd w:val="0"/>
        <w:spacing w:line="360" w:lineRule="auto"/>
        <w:ind w:left="640" w:hanging="640"/>
        <w:rPr>
          <w:noProof/>
        </w:rPr>
      </w:pPr>
      <w:r w:rsidRPr="00A93A6F">
        <w:rPr>
          <w:noProof/>
        </w:rPr>
        <w:t>[35]</w:t>
      </w:r>
      <w:r w:rsidRPr="00A93A6F">
        <w:rPr>
          <w:noProof/>
        </w:rPr>
        <w:tab/>
        <w:t>M.G. McCoy, J.M. Wei, S. Choi, J.P. Goerger, W. Zipfel, C. Fischbach, Collagen Fiber Orientation Regulates 3D Vascular Network Formation and Alignment, ACS Biomater. Sci. Eng. 4 (2018) 2967–2976. https://doi.org/10.1021/acsbiomaterials.8b00384.</w:t>
      </w:r>
    </w:p>
    <w:p w14:paraId="7B772ADD" w14:textId="77777777" w:rsidR="00ED1620" w:rsidRPr="00A93A6F" w:rsidRDefault="00ED1620" w:rsidP="00ED1620">
      <w:pPr>
        <w:widowControl w:val="0"/>
        <w:autoSpaceDE w:val="0"/>
        <w:autoSpaceDN w:val="0"/>
        <w:adjustRightInd w:val="0"/>
        <w:spacing w:line="360" w:lineRule="auto"/>
        <w:ind w:left="640" w:hanging="640"/>
        <w:rPr>
          <w:noProof/>
        </w:rPr>
      </w:pPr>
      <w:r w:rsidRPr="00A93A6F">
        <w:rPr>
          <w:noProof/>
        </w:rPr>
        <w:t>[36]</w:t>
      </w:r>
      <w:r w:rsidRPr="00A93A6F">
        <w:rPr>
          <w:noProof/>
        </w:rPr>
        <w:tab/>
        <w:t xml:space="preserve">S.H. Kim, S.K. Im, S.J. Oh, S. Jeong, E.S. Yoon, C.J. Lee, N. Choi, E.M. Hur, Anisotropically organized three-dimensional culture platform for reconstruction of a </w:t>
      </w:r>
      <w:r w:rsidRPr="00A93A6F">
        <w:rPr>
          <w:noProof/>
        </w:rPr>
        <w:lastRenderedPageBreak/>
        <w:t>hippocampal neural network, Nat. Commun. 8 (2017). https://doi.org/10.1038/ncomms14346.</w:t>
      </w:r>
    </w:p>
    <w:p w14:paraId="25B45061" w14:textId="77777777" w:rsidR="00ED1620" w:rsidRPr="00A93A6F" w:rsidRDefault="00ED1620" w:rsidP="00ED1620">
      <w:pPr>
        <w:widowControl w:val="0"/>
        <w:autoSpaceDE w:val="0"/>
        <w:autoSpaceDN w:val="0"/>
        <w:adjustRightInd w:val="0"/>
        <w:spacing w:line="360" w:lineRule="auto"/>
        <w:ind w:left="640" w:hanging="640"/>
        <w:rPr>
          <w:noProof/>
        </w:rPr>
      </w:pPr>
      <w:r w:rsidRPr="00A93A6F">
        <w:rPr>
          <w:noProof/>
        </w:rPr>
        <w:t>[37]</w:t>
      </w:r>
      <w:r w:rsidRPr="00A93A6F">
        <w:rPr>
          <w:noProof/>
        </w:rPr>
        <w:tab/>
        <w:t>P. V. Taufalele, J.A. VanderBurgh, A. Muñoz, M.R. Zanotelli, C.A. Reinhart-King, Fiber alignment drives changes in architectural and mechanical features in collagen matrices, PLoS One. 14 (2019). https://doi.org/10.1371/journal.pone.0216537.</w:t>
      </w:r>
    </w:p>
    <w:p w14:paraId="117C68E4" w14:textId="77777777" w:rsidR="00ED1620" w:rsidRPr="00A93A6F" w:rsidRDefault="00ED1620" w:rsidP="00ED1620">
      <w:pPr>
        <w:widowControl w:val="0"/>
        <w:autoSpaceDE w:val="0"/>
        <w:autoSpaceDN w:val="0"/>
        <w:adjustRightInd w:val="0"/>
        <w:spacing w:line="360" w:lineRule="auto"/>
        <w:ind w:left="640" w:hanging="640"/>
        <w:rPr>
          <w:noProof/>
        </w:rPr>
      </w:pPr>
      <w:r w:rsidRPr="00A93A6F">
        <w:rPr>
          <w:noProof/>
        </w:rPr>
        <w:t>[38]</w:t>
      </w:r>
      <w:r w:rsidRPr="00A93A6F">
        <w:rPr>
          <w:noProof/>
        </w:rPr>
        <w:tab/>
        <w:t>M. Antman-Passig, S. Levy, C. Gartenberg, H. Schori, O. Shefi, Mechanically Oriented 3D Collagen Hydrogel for Directing Neurite Growth, Tissue Eng. Part A. 23 (2017) 403–414. https://doi.org/10.1089/TEN.TEA.2016.0185.</w:t>
      </w:r>
    </w:p>
    <w:p w14:paraId="6CD0A986" w14:textId="77777777" w:rsidR="00ED1620" w:rsidRPr="00A93A6F" w:rsidRDefault="00ED1620" w:rsidP="00ED1620">
      <w:pPr>
        <w:widowControl w:val="0"/>
        <w:autoSpaceDE w:val="0"/>
        <w:autoSpaceDN w:val="0"/>
        <w:adjustRightInd w:val="0"/>
        <w:spacing w:line="360" w:lineRule="auto"/>
        <w:ind w:left="640" w:hanging="640"/>
        <w:rPr>
          <w:noProof/>
        </w:rPr>
      </w:pPr>
      <w:r w:rsidRPr="00A93A6F">
        <w:rPr>
          <w:noProof/>
        </w:rPr>
        <w:t>[39]</w:t>
      </w:r>
      <w:r w:rsidRPr="00A93A6F">
        <w:rPr>
          <w:noProof/>
        </w:rPr>
        <w:tab/>
        <w:t>E. Nam, W.C. Lee, S. Takeuchi, Formation of Highly Aligned Collagen Nanofibers by Continuous Cyclic Stretch of a Collagen Hydrogel Sheet, Macromol. Biosci. 16 (2016) 995–1000. https://doi.org/10.1002/MABI.201600068.</w:t>
      </w:r>
    </w:p>
    <w:p w14:paraId="1C046A73" w14:textId="77777777" w:rsidR="00ED1620" w:rsidRPr="00A93A6F" w:rsidRDefault="00ED1620" w:rsidP="00ED1620">
      <w:pPr>
        <w:widowControl w:val="0"/>
        <w:autoSpaceDE w:val="0"/>
        <w:autoSpaceDN w:val="0"/>
        <w:adjustRightInd w:val="0"/>
        <w:spacing w:line="360" w:lineRule="auto"/>
        <w:ind w:left="640" w:hanging="640"/>
        <w:rPr>
          <w:noProof/>
        </w:rPr>
      </w:pPr>
      <w:r w:rsidRPr="00A93A6F">
        <w:rPr>
          <w:noProof/>
        </w:rPr>
        <w:t>[40]</w:t>
      </w:r>
      <w:r w:rsidRPr="00A93A6F">
        <w:rPr>
          <w:noProof/>
        </w:rPr>
        <w:tab/>
        <w:t>S. Lin-Gibson, J.A. Pathak, E.A. Grulke, H. Wang, E.K. Hobbie, Elastic Flow Instability in Nanotube Suspensions, Phys. Rev. Lett. 92 (2004) 4. https://doi.org/10.1103/PhysRevLett.92.048302.</w:t>
      </w:r>
    </w:p>
    <w:p w14:paraId="70747F7D" w14:textId="77777777" w:rsidR="00ED1620" w:rsidRPr="00A93A6F" w:rsidRDefault="00ED1620" w:rsidP="00ED1620">
      <w:pPr>
        <w:widowControl w:val="0"/>
        <w:autoSpaceDE w:val="0"/>
        <w:autoSpaceDN w:val="0"/>
        <w:adjustRightInd w:val="0"/>
        <w:spacing w:line="360" w:lineRule="auto"/>
        <w:ind w:left="640" w:hanging="640"/>
        <w:rPr>
          <w:noProof/>
        </w:rPr>
      </w:pPr>
      <w:r w:rsidRPr="00A93A6F">
        <w:rPr>
          <w:noProof/>
        </w:rPr>
        <w:t>[41]</w:t>
      </w:r>
      <w:r w:rsidRPr="00A93A6F">
        <w:rPr>
          <w:noProof/>
        </w:rPr>
        <w:tab/>
        <w:t>M. Das, L. Chambon, Z. Varga, M. Vamvakaki, J.W. Swan, G. Petekidis, Shear driven vorticity aligned flocs in a suspension of attractive rigid rods, Soft Matter. 17 (2021) 1232–1245. https://doi.org/10.1039/d0sm01576h.</w:t>
      </w:r>
    </w:p>
    <w:p w14:paraId="404BC3B7" w14:textId="77777777" w:rsidR="00ED1620" w:rsidRPr="00A93A6F" w:rsidRDefault="00ED1620" w:rsidP="00ED1620">
      <w:pPr>
        <w:widowControl w:val="0"/>
        <w:autoSpaceDE w:val="0"/>
        <w:autoSpaceDN w:val="0"/>
        <w:adjustRightInd w:val="0"/>
        <w:spacing w:line="360" w:lineRule="auto"/>
        <w:ind w:left="640" w:hanging="640"/>
        <w:rPr>
          <w:noProof/>
        </w:rPr>
      </w:pPr>
      <w:r w:rsidRPr="00A93A6F">
        <w:rPr>
          <w:noProof/>
        </w:rPr>
        <w:t>[42]</w:t>
      </w:r>
      <w:r w:rsidRPr="00A93A6F">
        <w:rPr>
          <w:noProof/>
        </w:rPr>
        <w:tab/>
        <w:t>R.C. Arevalo, P. Kumar, J.S. Urbach, D.L. Blair, Stress heterogeneities in sheared type-i collagen networks revealed by boundary stress microscopy, PLoS One. 10 (2015). https://doi.org/10.1371/journal.pone.0118021.</w:t>
      </w:r>
    </w:p>
    <w:p w14:paraId="35A00D23" w14:textId="77777777" w:rsidR="00ED1620" w:rsidRPr="00A93A6F" w:rsidRDefault="00ED1620" w:rsidP="00ED1620">
      <w:pPr>
        <w:widowControl w:val="0"/>
        <w:autoSpaceDE w:val="0"/>
        <w:autoSpaceDN w:val="0"/>
        <w:adjustRightInd w:val="0"/>
        <w:spacing w:line="360" w:lineRule="auto"/>
        <w:ind w:left="640" w:hanging="640"/>
        <w:rPr>
          <w:noProof/>
        </w:rPr>
      </w:pPr>
      <w:r w:rsidRPr="00A93A6F">
        <w:rPr>
          <w:noProof/>
        </w:rPr>
        <w:t>[43]</w:t>
      </w:r>
      <w:r w:rsidRPr="00A93A6F">
        <w:rPr>
          <w:noProof/>
        </w:rPr>
        <w:tab/>
        <w:t>A. Sharma, A.J. Licup, K.A. Jansen, R. Rens, M. Sheinman, G.H. Koenderink, F.C. Mackintosh, Strain-controlled criticality governs the nonlinear mechanics of fibre networks, Nat. Phys. 12 (2016) 584–587. https://doi.org/10.1038/nphys3628.</w:t>
      </w:r>
    </w:p>
    <w:p w14:paraId="5824C065" w14:textId="77777777" w:rsidR="00ED1620" w:rsidRPr="00A93A6F" w:rsidRDefault="00ED1620" w:rsidP="00ED1620">
      <w:pPr>
        <w:widowControl w:val="0"/>
        <w:autoSpaceDE w:val="0"/>
        <w:autoSpaceDN w:val="0"/>
        <w:adjustRightInd w:val="0"/>
        <w:spacing w:line="360" w:lineRule="auto"/>
        <w:ind w:left="640" w:hanging="640"/>
        <w:rPr>
          <w:noProof/>
        </w:rPr>
      </w:pPr>
      <w:r w:rsidRPr="00A93A6F">
        <w:rPr>
          <w:noProof/>
        </w:rPr>
        <w:t>[44]</w:t>
      </w:r>
      <w:r w:rsidRPr="00A93A6F">
        <w:rPr>
          <w:noProof/>
        </w:rPr>
        <w:tab/>
        <w:t>D.J. Steinberg, Equation of state and strength properties of selected materials, Lawrence Livermore National Laboratory report, 1996. https://www.worldcat.org/title/equation-of-state-and-strength-properties-of-selected-materials/oclc/54089938 (accessed July 5, 2021).</w:t>
      </w:r>
    </w:p>
    <w:p w14:paraId="14F5C3E0" w14:textId="77777777" w:rsidR="00ED1620" w:rsidRPr="00A93A6F" w:rsidRDefault="00ED1620" w:rsidP="00ED1620">
      <w:pPr>
        <w:widowControl w:val="0"/>
        <w:autoSpaceDE w:val="0"/>
        <w:autoSpaceDN w:val="0"/>
        <w:adjustRightInd w:val="0"/>
        <w:spacing w:line="360" w:lineRule="auto"/>
        <w:ind w:left="640" w:hanging="640"/>
        <w:rPr>
          <w:noProof/>
        </w:rPr>
      </w:pPr>
      <w:r w:rsidRPr="00A93A6F">
        <w:rPr>
          <w:noProof/>
        </w:rPr>
        <w:t>[45]</w:t>
      </w:r>
      <w:r w:rsidRPr="00A93A6F">
        <w:rPr>
          <w:noProof/>
        </w:rPr>
        <w:tab/>
        <w:t>K.R. Purdy, Z. Dogic, S. Fraden, A. Rühm, L. Lurio, S.G.J. Mochrie, Measuring the nematic order of suspensions of colloidal fd virus by x-ray diffraction and optical birefringence, Phys. Rev. E - Stat. Physics, Plasmas, Fluids, Relat. Interdiscip. Top. 67 (2003) 12. https://doi.org/10.1103/PhysRevE.67.031708.</w:t>
      </w:r>
    </w:p>
    <w:p w14:paraId="33683268" w14:textId="77777777" w:rsidR="00ED1620" w:rsidRPr="00A93A6F" w:rsidRDefault="00ED1620" w:rsidP="00ED1620">
      <w:pPr>
        <w:widowControl w:val="0"/>
        <w:autoSpaceDE w:val="0"/>
        <w:autoSpaceDN w:val="0"/>
        <w:adjustRightInd w:val="0"/>
        <w:spacing w:line="360" w:lineRule="auto"/>
        <w:ind w:left="640" w:hanging="640"/>
        <w:rPr>
          <w:noProof/>
        </w:rPr>
      </w:pPr>
      <w:r w:rsidRPr="00A93A6F">
        <w:rPr>
          <w:noProof/>
        </w:rPr>
        <w:t>[46]</w:t>
      </w:r>
      <w:r w:rsidRPr="00A93A6F">
        <w:rPr>
          <w:noProof/>
        </w:rPr>
        <w:tab/>
        <w:t xml:space="preserve">K. Sakaguchi, Y. Hinata, Y. Kagawa, K. Iwasaki, S. Tsuneda, T. Shimizu, M. Umezu, Low-temperature culturing improves survival rate of tissue-engineered cardiac cell sheets, Biochem. Biophys. Reports. 14 (2018) 89–97. </w:t>
      </w:r>
      <w:r w:rsidRPr="00A93A6F">
        <w:rPr>
          <w:noProof/>
        </w:rPr>
        <w:lastRenderedPageBreak/>
        <w:t>https://doi.org/10.1016/j.bbrep.2018.04.001.</w:t>
      </w:r>
    </w:p>
    <w:p w14:paraId="20CCB8B4" w14:textId="2A684D5A" w:rsidR="00437BE5" w:rsidRPr="00A93A6F" w:rsidRDefault="00437BE5" w:rsidP="00437BE5">
      <w:pPr>
        <w:pStyle w:val="MainText"/>
        <w:spacing w:line="360" w:lineRule="auto"/>
        <w:sectPr w:rsidR="00437BE5" w:rsidRPr="00A93A6F">
          <w:headerReference w:type="default" r:id="rId15"/>
          <w:footerReference w:type="default" r:id="rId16"/>
          <w:pgSz w:w="11906" w:h="16838"/>
          <w:pgMar w:top="1417" w:right="1417" w:bottom="1134" w:left="1417" w:header="708" w:footer="708" w:gutter="0"/>
          <w:cols w:space="708"/>
          <w:docGrid w:linePitch="360"/>
        </w:sectPr>
      </w:pPr>
      <w:r w:rsidRPr="00A93A6F">
        <w:fldChar w:fldCharType="end"/>
      </w:r>
    </w:p>
    <w:p w14:paraId="50CF5E49" w14:textId="77777777" w:rsidR="00B4598A" w:rsidRPr="00A93A6F" w:rsidRDefault="00B4598A"/>
    <w:sectPr w:rsidR="00B4598A" w:rsidRPr="00A93A6F" w:rsidSect="00DB06A6">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4C98F7" w14:textId="77777777" w:rsidR="00A4106F" w:rsidRDefault="00A4106F">
      <w:r>
        <w:separator/>
      </w:r>
    </w:p>
  </w:endnote>
  <w:endnote w:type="continuationSeparator" w:id="0">
    <w:p w14:paraId="77F11BAB" w14:textId="77777777" w:rsidR="00A4106F" w:rsidRDefault="00A410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E8F73" w14:textId="77777777" w:rsidR="0036680C" w:rsidRDefault="0036680C">
    <w:pPr>
      <w:pStyle w:val="Fuzeile"/>
      <w:jc w:val="center"/>
    </w:pPr>
    <w:r>
      <w:fldChar w:fldCharType="begin"/>
    </w:r>
    <w:r>
      <w:instrText>PAGE   \* MERGEFORMAT</w:instrText>
    </w:r>
    <w:r>
      <w:fldChar w:fldCharType="separate"/>
    </w:r>
    <w:r w:rsidR="00E94205">
      <w:rPr>
        <w:noProof/>
      </w:rPr>
      <w:t>16</w:t>
    </w:r>
    <w:r>
      <w:fldChar w:fldCharType="end"/>
    </w:r>
  </w:p>
  <w:p w14:paraId="0442033A" w14:textId="77777777" w:rsidR="0036680C" w:rsidRDefault="0036680C" w:rsidP="00DB06A6">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2ED5A" w14:textId="77777777" w:rsidR="00A4106F" w:rsidRDefault="00A4106F">
      <w:r>
        <w:separator/>
      </w:r>
    </w:p>
  </w:footnote>
  <w:footnote w:type="continuationSeparator" w:id="0">
    <w:p w14:paraId="1555D1BF" w14:textId="77777777" w:rsidR="00A4106F" w:rsidRDefault="00A410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8297B" w14:textId="77777777" w:rsidR="0036680C" w:rsidRPr="009B44CC" w:rsidRDefault="0036680C" w:rsidP="00DB06A6">
    <w:pPr>
      <w:pStyle w:val="Kopfzeile"/>
      <w:tabs>
        <w:tab w:val="left" w:pos="5003"/>
      </w:tabs>
      <w:jc w:val="right"/>
      <w:rPr>
        <w:lang w:val="en-US"/>
      </w:rP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UzNjQ3MzG2MDSyMDdS0lEKTi0uzszPAykwMqsFALYbjj8tAAAA"/>
  </w:docVars>
  <w:rsids>
    <w:rsidRoot w:val="00437BE5"/>
    <w:rsid w:val="0000335E"/>
    <w:rsid w:val="0003128D"/>
    <w:rsid w:val="00035480"/>
    <w:rsid w:val="00040251"/>
    <w:rsid w:val="000450C0"/>
    <w:rsid w:val="000611A1"/>
    <w:rsid w:val="000669A0"/>
    <w:rsid w:val="000757E9"/>
    <w:rsid w:val="00076DC0"/>
    <w:rsid w:val="00091A15"/>
    <w:rsid w:val="000B56D8"/>
    <w:rsid w:val="000D0F2E"/>
    <w:rsid w:val="000E36A5"/>
    <w:rsid w:val="00102379"/>
    <w:rsid w:val="00104EDD"/>
    <w:rsid w:val="0011105A"/>
    <w:rsid w:val="0012479B"/>
    <w:rsid w:val="00125BF1"/>
    <w:rsid w:val="00131E41"/>
    <w:rsid w:val="00143A1D"/>
    <w:rsid w:val="00161160"/>
    <w:rsid w:val="00164501"/>
    <w:rsid w:val="00171891"/>
    <w:rsid w:val="00174E3D"/>
    <w:rsid w:val="001875C2"/>
    <w:rsid w:val="001928E3"/>
    <w:rsid w:val="001935C1"/>
    <w:rsid w:val="001A53BD"/>
    <w:rsid w:val="001B1830"/>
    <w:rsid w:val="001B1C20"/>
    <w:rsid w:val="001B5007"/>
    <w:rsid w:val="001E7B7F"/>
    <w:rsid w:val="001F7309"/>
    <w:rsid w:val="00246685"/>
    <w:rsid w:val="002836F5"/>
    <w:rsid w:val="00287CA0"/>
    <w:rsid w:val="0029250B"/>
    <w:rsid w:val="002A1AFB"/>
    <w:rsid w:val="002A7C6F"/>
    <w:rsid w:val="002B05F2"/>
    <w:rsid w:val="002B5796"/>
    <w:rsid w:val="002E0887"/>
    <w:rsid w:val="002E2B07"/>
    <w:rsid w:val="002F3FBC"/>
    <w:rsid w:val="00304280"/>
    <w:rsid w:val="00305084"/>
    <w:rsid w:val="00312222"/>
    <w:rsid w:val="0031437C"/>
    <w:rsid w:val="00360D6C"/>
    <w:rsid w:val="0036680C"/>
    <w:rsid w:val="00367F1F"/>
    <w:rsid w:val="003A5C51"/>
    <w:rsid w:val="003C1237"/>
    <w:rsid w:val="003D1E63"/>
    <w:rsid w:val="003E28BB"/>
    <w:rsid w:val="003F7C27"/>
    <w:rsid w:val="00403408"/>
    <w:rsid w:val="00406528"/>
    <w:rsid w:val="00411C72"/>
    <w:rsid w:val="004278B0"/>
    <w:rsid w:val="00437BE5"/>
    <w:rsid w:val="00452425"/>
    <w:rsid w:val="00452654"/>
    <w:rsid w:val="00454590"/>
    <w:rsid w:val="004566CA"/>
    <w:rsid w:val="00457495"/>
    <w:rsid w:val="00461D7B"/>
    <w:rsid w:val="00481187"/>
    <w:rsid w:val="00482FC6"/>
    <w:rsid w:val="00484627"/>
    <w:rsid w:val="00490038"/>
    <w:rsid w:val="0049595F"/>
    <w:rsid w:val="0049753B"/>
    <w:rsid w:val="004A5600"/>
    <w:rsid w:val="004B4F2C"/>
    <w:rsid w:val="004C2487"/>
    <w:rsid w:val="004C53A5"/>
    <w:rsid w:val="004C6149"/>
    <w:rsid w:val="005108FA"/>
    <w:rsid w:val="005262E3"/>
    <w:rsid w:val="00552A51"/>
    <w:rsid w:val="00553B18"/>
    <w:rsid w:val="00555F5B"/>
    <w:rsid w:val="005705FD"/>
    <w:rsid w:val="00597E13"/>
    <w:rsid w:val="005B0B49"/>
    <w:rsid w:val="005C2ECF"/>
    <w:rsid w:val="005F222A"/>
    <w:rsid w:val="005F405A"/>
    <w:rsid w:val="005F4A9C"/>
    <w:rsid w:val="00602FFE"/>
    <w:rsid w:val="006136F4"/>
    <w:rsid w:val="00644870"/>
    <w:rsid w:val="0066484D"/>
    <w:rsid w:val="00665B61"/>
    <w:rsid w:val="00672FBD"/>
    <w:rsid w:val="006759AA"/>
    <w:rsid w:val="00692D34"/>
    <w:rsid w:val="006A77CC"/>
    <w:rsid w:val="006B0A70"/>
    <w:rsid w:val="006B2929"/>
    <w:rsid w:val="006B4AA5"/>
    <w:rsid w:val="006B5A68"/>
    <w:rsid w:val="006C7DA0"/>
    <w:rsid w:val="006D5154"/>
    <w:rsid w:val="0070761E"/>
    <w:rsid w:val="00744971"/>
    <w:rsid w:val="007551A7"/>
    <w:rsid w:val="00756C8E"/>
    <w:rsid w:val="007650D1"/>
    <w:rsid w:val="00767E43"/>
    <w:rsid w:val="00780A42"/>
    <w:rsid w:val="0079367A"/>
    <w:rsid w:val="00794DF9"/>
    <w:rsid w:val="007A76E8"/>
    <w:rsid w:val="007B1DF1"/>
    <w:rsid w:val="007D17D1"/>
    <w:rsid w:val="007D49C2"/>
    <w:rsid w:val="007D7CCE"/>
    <w:rsid w:val="007F4864"/>
    <w:rsid w:val="007F5D5E"/>
    <w:rsid w:val="0081577F"/>
    <w:rsid w:val="00837F4D"/>
    <w:rsid w:val="0084220C"/>
    <w:rsid w:val="0084420F"/>
    <w:rsid w:val="0084692E"/>
    <w:rsid w:val="00855672"/>
    <w:rsid w:val="00856F31"/>
    <w:rsid w:val="008617C8"/>
    <w:rsid w:val="00861F97"/>
    <w:rsid w:val="00872132"/>
    <w:rsid w:val="008802FF"/>
    <w:rsid w:val="008809DA"/>
    <w:rsid w:val="0088177B"/>
    <w:rsid w:val="00887804"/>
    <w:rsid w:val="0089091F"/>
    <w:rsid w:val="00895D5B"/>
    <w:rsid w:val="0089780A"/>
    <w:rsid w:val="008B29E8"/>
    <w:rsid w:val="008B5C2B"/>
    <w:rsid w:val="008C4D80"/>
    <w:rsid w:val="008E59C6"/>
    <w:rsid w:val="00904A20"/>
    <w:rsid w:val="00943E31"/>
    <w:rsid w:val="00951A45"/>
    <w:rsid w:val="00960B74"/>
    <w:rsid w:val="00965ED1"/>
    <w:rsid w:val="00966F10"/>
    <w:rsid w:val="00974116"/>
    <w:rsid w:val="00983059"/>
    <w:rsid w:val="00984EEA"/>
    <w:rsid w:val="00992E72"/>
    <w:rsid w:val="009951DF"/>
    <w:rsid w:val="009A3837"/>
    <w:rsid w:val="009B32F9"/>
    <w:rsid w:val="009D11F0"/>
    <w:rsid w:val="009E2943"/>
    <w:rsid w:val="009F7F42"/>
    <w:rsid w:val="00A05B63"/>
    <w:rsid w:val="00A21E6F"/>
    <w:rsid w:val="00A24FA0"/>
    <w:rsid w:val="00A4106F"/>
    <w:rsid w:val="00A43170"/>
    <w:rsid w:val="00A712D3"/>
    <w:rsid w:val="00A866F4"/>
    <w:rsid w:val="00A93527"/>
    <w:rsid w:val="00A93A6F"/>
    <w:rsid w:val="00AA781C"/>
    <w:rsid w:val="00AC0A38"/>
    <w:rsid w:val="00AC1F47"/>
    <w:rsid w:val="00AD53DF"/>
    <w:rsid w:val="00B0689A"/>
    <w:rsid w:val="00B2302C"/>
    <w:rsid w:val="00B4598A"/>
    <w:rsid w:val="00B569E6"/>
    <w:rsid w:val="00B65C82"/>
    <w:rsid w:val="00B71DAE"/>
    <w:rsid w:val="00B7527F"/>
    <w:rsid w:val="00B92B94"/>
    <w:rsid w:val="00B92C42"/>
    <w:rsid w:val="00BA303C"/>
    <w:rsid w:val="00BB3C75"/>
    <w:rsid w:val="00BC1ED8"/>
    <w:rsid w:val="00BC3129"/>
    <w:rsid w:val="00BC558B"/>
    <w:rsid w:val="00BD1074"/>
    <w:rsid w:val="00BE7FB2"/>
    <w:rsid w:val="00BF3583"/>
    <w:rsid w:val="00C02216"/>
    <w:rsid w:val="00C135E3"/>
    <w:rsid w:val="00C25AAD"/>
    <w:rsid w:val="00C25B04"/>
    <w:rsid w:val="00C26603"/>
    <w:rsid w:val="00C549A9"/>
    <w:rsid w:val="00C54DAB"/>
    <w:rsid w:val="00C63626"/>
    <w:rsid w:val="00C64AAB"/>
    <w:rsid w:val="00C64E1F"/>
    <w:rsid w:val="00C718C4"/>
    <w:rsid w:val="00C81476"/>
    <w:rsid w:val="00C83153"/>
    <w:rsid w:val="00CA12CD"/>
    <w:rsid w:val="00CA67EB"/>
    <w:rsid w:val="00CB0F81"/>
    <w:rsid w:val="00CB3EC3"/>
    <w:rsid w:val="00CC05A0"/>
    <w:rsid w:val="00CC360F"/>
    <w:rsid w:val="00CC6A98"/>
    <w:rsid w:val="00D073FE"/>
    <w:rsid w:val="00D121F1"/>
    <w:rsid w:val="00D14EF9"/>
    <w:rsid w:val="00D15E9F"/>
    <w:rsid w:val="00D17870"/>
    <w:rsid w:val="00D22423"/>
    <w:rsid w:val="00D33114"/>
    <w:rsid w:val="00D6279D"/>
    <w:rsid w:val="00D66AE8"/>
    <w:rsid w:val="00D92F5C"/>
    <w:rsid w:val="00DB06A6"/>
    <w:rsid w:val="00DB26A8"/>
    <w:rsid w:val="00DC4867"/>
    <w:rsid w:val="00DD4BAB"/>
    <w:rsid w:val="00DE3887"/>
    <w:rsid w:val="00E07AD3"/>
    <w:rsid w:val="00E320B4"/>
    <w:rsid w:val="00E446F4"/>
    <w:rsid w:val="00E5463B"/>
    <w:rsid w:val="00E6112E"/>
    <w:rsid w:val="00E74AB2"/>
    <w:rsid w:val="00E93DF0"/>
    <w:rsid w:val="00E94205"/>
    <w:rsid w:val="00E95963"/>
    <w:rsid w:val="00EA5E13"/>
    <w:rsid w:val="00EB5F39"/>
    <w:rsid w:val="00EC1922"/>
    <w:rsid w:val="00EC6C31"/>
    <w:rsid w:val="00ED1620"/>
    <w:rsid w:val="00ED416A"/>
    <w:rsid w:val="00EF30B0"/>
    <w:rsid w:val="00F2053A"/>
    <w:rsid w:val="00F22B8B"/>
    <w:rsid w:val="00F26C12"/>
    <w:rsid w:val="00F40FF0"/>
    <w:rsid w:val="00F47641"/>
    <w:rsid w:val="00F5116B"/>
    <w:rsid w:val="00F65911"/>
    <w:rsid w:val="00F71058"/>
    <w:rsid w:val="00F7370D"/>
    <w:rsid w:val="00F738AC"/>
    <w:rsid w:val="00F77664"/>
    <w:rsid w:val="00F82C75"/>
    <w:rsid w:val="00F874F0"/>
    <w:rsid w:val="00F919A4"/>
    <w:rsid w:val="00FA0A75"/>
    <w:rsid w:val="00FA244D"/>
    <w:rsid w:val="00FB4BE0"/>
    <w:rsid w:val="00FD1246"/>
    <w:rsid w:val="00FD4372"/>
    <w:rsid w:val="00FE0D01"/>
    <w:rsid w:val="00FF504F"/>
    <w:rsid w:val="0145510D"/>
    <w:rsid w:val="0AD30AF6"/>
    <w:rsid w:val="5A5FD8D7"/>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812D9C"/>
  <w15:docId w15:val="{3E8E1317-8A9A-4CF1-944F-D4AC70A7E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37BE5"/>
    <w:pPr>
      <w:spacing w:after="0" w:line="240" w:lineRule="auto"/>
    </w:pPr>
    <w:rPr>
      <w:rFonts w:ascii="Times New Roman" w:eastAsia="MS Mincho" w:hAnsi="Times New Roman" w:cs="Times New Roman"/>
      <w:sz w:val="24"/>
      <w:szCs w:val="24"/>
      <w:lang w:val="de-DE" w:eastAsia="ja-JP"/>
    </w:rPr>
  </w:style>
  <w:style w:type="paragraph" w:styleId="berschrift1">
    <w:name w:val="heading 1"/>
    <w:basedOn w:val="Standard"/>
    <w:next w:val="Standard"/>
    <w:link w:val="berschrift1Zchn"/>
    <w:uiPriority w:val="9"/>
    <w:qFormat/>
    <w:rsid w:val="00437BE5"/>
    <w:pPr>
      <w:keepNext/>
      <w:keepLines/>
      <w:spacing w:before="240" w:line="259" w:lineRule="auto"/>
      <w:jc w:val="both"/>
      <w:outlineLvl w:val="0"/>
    </w:pPr>
    <w:rPr>
      <w:rFonts w:asciiTheme="majorHAnsi" w:eastAsiaTheme="majorEastAsia" w:hAnsiTheme="majorHAnsi" w:cstheme="majorBidi"/>
      <w:color w:val="2F5496" w:themeColor="accent1" w:themeShade="BF"/>
      <w:sz w:val="32"/>
      <w:szCs w:val="32"/>
      <w:lang w:val="en-US" w:eastAsia="nl-NL"/>
    </w:rPr>
  </w:style>
  <w:style w:type="paragraph" w:styleId="berschrift2">
    <w:name w:val="heading 2"/>
    <w:basedOn w:val="Standard"/>
    <w:next w:val="Standard"/>
    <w:link w:val="berschrift2Zchn"/>
    <w:uiPriority w:val="9"/>
    <w:unhideWhenUsed/>
    <w:qFormat/>
    <w:rsid w:val="00437BE5"/>
    <w:pPr>
      <w:keepNext/>
      <w:keepLines/>
      <w:spacing w:before="40" w:line="259" w:lineRule="auto"/>
      <w:jc w:val="both"/>
      <w:outlineLvl w:val="1"/>
    </w:pPr>
    <w:rPr>
      <w:rFonts w:asciiTheme="majorHAnsi" w:eastAsiaTheme="majorEastAsia" w:hAnsiTheme="majorHAnsi" w:cstheme="majorBidi"/>
      <w:color w:val="2F5496" w:themeColor="accent1" w:themeShade="BF"/>
      <w:sz w:val="26"/>
      <w:szCs w:val="26"/>
      <w:lang w:val="en-US" w:eastAsia="nl-N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37BE5"/>
    <w:rPr>
      <w:rFonts w:asciiTheme="majorHAnsi" w:eastAsiaTheme="majorEastAsia" w:hAnsiTheme="majorHAnsi" w:cstheme="majorBidi"/>
      <w:color w:val="2F5496" w:themeColor="accent1" w:themeShade="BF"/>
      <w:sz w:val="32"/>
      <w:szCs w:val="32"/>
      <w:lang w:val="en-US" w:eastAsia="nl-NL"/>
    </w:rPr>
  </w:style>
  <w:style w:type="character" w:customStyle="1" w:styleId="berschrift2Zchn">
    <w:name w:val="Überschrift 2 Zchn"/>
    <w:basedOn w:val="Absatz-Standardschriftart"/>
    <w:link w:val="berschrift2"/>
    <w:uiPriority w:val="9"/>
    <w:rsid w:val="00437BE5"/>
    <w:rPr>
      <w:rFonts w:asciiTheme="majorHAnsi" w:eastAsiaTheme="majorEastAsia" w:hAnsiTheme="majorHAnsi" w:cstheme="majorBidi"/>
      <w:color w:val="2F5496" w:themeColor="accent1" w:themeShade="BF"/>
      <w:sz w:val="26"/>
      <w:szCs w:val="26"/>
      <w:lang w:val="en-US" w:eastAsia="nl-NL"/>
    </w:rPr>
  </w:style>
  <w:style w:type="paragraph" w:customStyle="1" w:styleId="History">
    <w:name w:val="History"/>
    <w:basedOn w:val="Standard"/>
    <w:rsid w:val="00437BE5"/>
    <w:pPr>
      <w:spacing w:before="230" w:after="460" w:line="180" w:lineRule="exact"/>
      <w:jc w:val="right"/>
    </w:pPr>
    <w:rPr>
      <w:rFonts w:ascii="Arial" w:hAnsi="Arial"/>
      <w:sz w:val="14"/>
      <w:szCs w:val="16"/>
    </w:rPr>
  </w:style>
  <w:style w:type="paragraph" w:customStyle="1" w:styleId="References">
    <w:name w:val="References"/>
    <w:basedOn w:val="Standard"/>
    <w:rsid w:val="00437BE5"/>
    <w:pPr>
      <w:spacing w:line="200" w:lineRule="exact"/>
      <w:ind w:left="425" w:hanging="425"/>
      <w:jc w:val="both"/>
    </w:pPr>
    <w:rPr>
      <w:sz w:val="15"/>
      <w:szCs w:val="14"/>
      <w:lang w:val="en-GB"/>
    </w:rPr>
  </w:style>
  <w:style w:type="paragraph" w:customStyle="1" w:styleId="HExperimentalSection">
    <w:name w:val="HExperimental_Section"/>
    <w:basedOn w:val="Standard"/>
    <w:rsid w:val="00437BE5"/>
    <w:pPr>
      <w:spacing w:before="460" w:after="230" w:line="230" w:lineRule="atLeast"/>
    </w:pPr>
    <w:rPr>
      <w:i/>
      <w:szCs w:val="20"/>
    </w:rPr>
  </w:style>
  <w:style w:type="paragraph" w:customStyle="1" w:styleId="ExperimentalSection">
    <w:name w:val="ExperimentalSection"/>
    <w:basedOn w:val="Standard"/>
    <w:rsid w:val="00437BE5"/>
    <w:pPr>
      <w:spacing w:after="240" w:line="200" w:lineRule="exact"/>
      <w:ind w:firstLine="170"/>
      <w:jc w:val="both"/>
    </w:pPr>
    <w:rPr>
      <w:sz w:val="16"/>
      <w:szCs w:val="14"/>
      <w:lang w:val="en-GB"/>
    </w:rPr>
  </w:style>
  <w:style w:type="paragraph" w:customStyle="1" w:styleId="FNB">
    <w:name w:val="FNB"/>
    <w:basedOn w:val="Standard"/>
    <w:link w:val="FNBChar"/>
    <w:rsid w:val="00437BE5"/>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437BE5"/>
    <w:rPr>
      <w:rFonts w:ascii="Times" w:eastAsia="MS Mincho" w:hAnsi="Times" w:cs="Times New Roman"/>
      <w:sz w:val="14"/>
      <w:szCs w:val="3276"/>
      <w:lang w:val="en-GB" w:eastAsia="de-DE"/>
    </w:rPr>
  </w:style>
  <w:style w:type="paragraph" w:customStyle="1" w:styleId="Ack">
    <w:name w:val="Ack"/>
    <w:basedOn w:val="Standard"/>
    <w:rsid w:val="00437BE5"/>
  </w:style>
  <w:style w:type="paragraph" w:customStyle="1" w:styleId="TableCaption">
    <w:name w:val="TableCaption"/>
    <w:basedOn w:val="Standard"/>
    <w:rsid w:val="00437BE5"/>
    <w:pPr>
      <w:spacing w:after="120" w:line="190" w:lineRule="exact"/>
      <w:jc w:val="both"/>
    </w:pPr>
    <w:rPr>
      <w:rFonts w:ascii="Arial" w:hAnsi="Arial"/>
      <w:sz w:val="16"/>
      <w:szCs w:val="14"/>
      <w:lang w:val="en-GB"/>
    </w:rPr>
  </w:style>
  <w:style w:type="paragraph" w:customStyle="1" w:styleId="TableHead">
    <w:name w:val="TableHead"/>
    <w:basedOn w:val="TableCaption"/>
    <w:rsid w:val="00437BE5"/>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437BE5"/>
  </w:style>
  <w:style w:type="paragraph" w:customStyle="1" w:styleId="TableFoot">
    <w:name w:val="TableFoot"/>
    <w:basedOn w:val="TableBody"/>
    <w:rsid w:val="00437BE5"/>
    <w:pPr>
      <w:spacing w:before="60" w:after="60"/>
    </w:pPr>
  </w:style>
  <w:style w:type="paragraph" w:customStyle="1" w:styleId="SchemeCaption">
    <w:name w:val="SchemeCaption"/>
    <w:basedOn w:val="Standard"/>
    <w:rsid w:val="00437BE5"/>
    <w:pPr>
      <w:spacing w:before="230" w:after="460" w:line="190" w:lineRule="exact"/>
      <w:jc w:val="both"/>
    </w:pPr>
    <w:rPr>
      <w:rFonts w:ascii="Arial" w:hAnsi="Arial"/>
      <w:sz w:val="16"/>
      <w:szCs w:val="14"/>
      <w:lang w:val="en-GB"/>
    </w:rPr>
  </w:style>
  <w:style w:type="paragraph" w:styleId="Funotentext">
    <w:name w:val="footnote text"/>
    <w:basedOn w:val="Standard"/>
    <w:link w:val="FunotentextZchn"/>
    <w:semiHidden/>
    <w:rsid w:val="00437BE5"/>
    <w:pPr>
      <w:keepLines/>
      <w:widowControl w:val="0"/>
      <w:jc w:val="both"/>
    </w:pPr>
    <w:rPr>
      <w:rFonts w:eastAsia="Times New Roman"/>
      <w:sz w:val="20"/>
      <w:szCs w:val="20"/>
      <w:lang w:val="en-GB" w:eastAsia="ro-RO"/>
    </w:rPr>
  </w:style>
  <w:style w:type="character" w:customStyle="1" w:styleId="FunotentextZchn">
    <w:name w:val="Fußnotentext Zchn"/>
    <w:basedOn w:val="Absatz-Standardschriftart"/>
    <w:link w:val="Funotentext"/>
    <w:semiHidden/>
    <w:rsid w:val="00437BE5"/>
    <w:rPr>
      <w:rFonts w:ascii="Times New Roman" w:eastAsia="Times New Roman" w:hAnsi="Times New Roman" w:cs="Times New Roman"/>
      <w:sz w:val="20"/>
      <w:szCs w:val="20"/>
      <w:lang w:val="en-GB" w:eastAsia="ro-RO"/>
    </w:rPr>
  </w:style>
  <w:style w:type="paragraph" w:customStyle="1" w:styleId="STOE">
    <w:name w:val="STOE"/>
    <w:basedOn w:val="Standard"/>
    <w:link w:val="STOEChar1"/>
    <w:rsid w:val="00437BE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437BE5"/>
    <w:rPr>
      <w:rFonts w:ascii="Times" w:eastAsia="MS Mincho" w:hAnsi="Times" w:cs="Times New Roman"/>
      <w:sz w:val="18"/>
      <w:szCs w:val="3276"/>
      <w:lang w:val="en-GB" w:eastAsia="de-DE"/>
    </w:rPr>
  </w:style>
  <w:style w:type="paragraph" w:styleId="Sprechblasentext">
    <w:name w:val="Balloon Text"/>
    <w:basedOn w:val="Standard"/>
    <w:link w:val="SprechblasentextZchn"/>
    <w:semiHidden/>
    <w:rsid w:val="00437BE5"/>
    <w:rPr>
      <w:rFonts w:ascii="Tahoma" w:hAnsi="Tahoma" w:cs="Tahoma"/>
      <w:sz w:val="16"/>
      <w:szCs w:val="16"/>
    </w:rPr>
  </w:style>
  <w:style w:type="character" w:customStyle="1" w:styleId="SprechblasentextZchn">
    <w:name w:val="Sprechblasentext Zchn"/>
    <w:basedOn w:val="Absatz-Standardschriftart"/>
    <w:link w:val="Sprechblasentext"/>
    <w:semiHidden/>
    <w:rsid w:val="00437BE5"/>
    <w:rPr>
      <w:rFonts w:ascii="Tahoma" w:eastAsia="MS Mincho" w:hAnsi="Tahoma" w:cs="Tahoma"/>
      <w:sz w:val="16"/>
      <w:szCs w:val="16"/>
      <w:lang w:val="de-DE" w:eastAsia="ja-JP"/>
    </w:rPr>
  </w:style>
  <w:style w:type="paragraph" w:styleId="Kopfzeile">
    <w:name w:val="header"/>
    <w:basedOn w:val="Standard"/>
    <w:link w:val="KopfzeileZchn"/>
    <w:rsid w:val="00437BE5"/>
    <w:pPr>
      <w:tabs>
        <w:tab w:val="center" w:pos="4536"/>
        <w:tab w:val="right" w:pos="9072"/>
      </w:tabs>
    </w:pPr>
    <w:rPr>
      <w:lang w:val="x-none"/>
    </w:rPr>
  </w:style>
  <w:style w:type="character" w:customStyle="1" w:styleId="KopfzeileZchn">
    <w:name w:val="Kopfzeile Zchn"/>
    <w:basedOn w:val="Absatz-Standardschriftart"/>
    <w:link w:val="Kopfzeile"/>
    <w:rsid w:val="00437BE5"/>
    <w:rPr>
      <w:rFonts w:ascii="Times New Roman" w:eastAsia="MS Mincho" w:hAnsi="Times New Roman" w:cs="Times New Roman"/>
      <w:sz w:val="24"/>
      <w:szCs w:val="24"/>
      <w:lang w:val="x-none" w:eastAsia="ja-JP"/>
    </w:rPr>
  </w:style>
  <w:style w:type="paragraph" w:styleId="Fuzeile">
    <w:name w:val="footer"/>
    <w:basedOn w:val="Standard"/>
    <w:link w:val="FuzeileZchn"/>
    <w:uiPriority w:val="99"/>
    <w:rsid w:val="00437BE5"/>
    <w:pPr>
      <w:tabs>
        <w:tab w:val="center" w:pos="4536"/>
        <w:tab w:val="right" w:pos="9072"/>
      </w:tabs>
    </w:pPr>
  </w:style>
  <w:style w:type="character" w:customStyle="1" w:styleId="FuzeileZchn">
    <w:name w:val="Fußzeile Zchn"/>
    <w:basedOn w:val="Absatz-Standardschriftart"/>
    <w:link w:val="Fuzeile"/>
    <w:uiPriority w:val="99"/>
    <w:rsid w:val="00437BE5"/>
    <w:rPr>
      <w:rFonts w:ascii="Times New Roman" w:eastAsia="MS Mincho" w:hAnsi="Times New Roman" w:cs="Times New Roman"/>
      <w:sz w:val="24"/>
      <w:szCs w:val="24"/>
      <w:lang w:val="de-DE" w:eastAsia="ja-JP"/>
    </w:rPr>
  </w:style>
  <w:style w:type="paragraph" w:customStyle="1" w:styleId="Title1">
    <w:name w:val="Title1"/>
    <w:basedOn w:val="Standard"/>
    <w:rsid w:val="00437BE5"/>
    <w:rPr>
      <w:b/>
      <w:lang w:val="en-US"/>
    </w:rPr>
  </w:style>
  <w:style w:type="paragraph" w:customStyle="1" w:styleId="AuthorsFull">
    <w:name w:val="Authors Full"/>
    <w:basedOn w:val="Standard"/>
    <w:rsid w:val="00437BE5"/>
    <w:rPr>
      <w:i/>
      <w:lang w:val="en-US"/>
    </w:rPr>
  </w:style>
  <w:style w:type="paragraph" w:customStyle="1" w:styleId="dedication">
    <w:name w:val="dedication"/>
    <w:basedOn w:val="Standard"/>
    <w:rsid w:val="00437BE5"/>
    <w:rPr>
      <w:i/>
      <w:lang w:val="en-US"/>
    </w:rPr>
  </w:style>
  <w:style w:type="paragraph" w:customStyle="1" w:styleId="Addresses">
    <w:name w:val="Addresses"/>
    <w:basedOn w:val="Standard"/>
    <w:rsid w:val="00437BE5"/>
    <w:rPr>
      <w:lang w:val="en-US"/>
    </w:rPr>
  </w:style>
  <w:style w:type="paragraph" w:customStyle="1" w:styleId="Acknowledgements">
    <w:name w:val="Acknowledgements"/>
    <w:basedOn w:val="Standard"/>
    <w:rsid w:val="00437BE5"/>
    <w:rPr>
      <w:lang w:val="en-US"/>
    </w:rPr>
  </w:style>
  <w:style w:type="paragraph" w:customStyle="1" w:styleId="Abstract">
    <w:name w:val="Abstract"/>
    <w:basedOn w:val="Standard"/>
    <w:autoRedefine/>
    <w:rsid w:val="00437BE5"/>
    <w:pPr>
      <w:spacing w:line="480" w:lineRule="auto"/>
    </w:pPr>
    <w:rPr>
      <w:lang w:val="en-US"/>
    </w:rPr>
  </w:style>
  <w:style w:type="paragraph" w:customStyle="1" w:styleId="Head1">
    <w:name w:val="Head 1"/>
    <w:basedOn w:val="Standard"/>
    <w:autoRedefine/>
    <w:rsid w:val="00FD4372"/>
    <w:pPr>
      <w:spacing w:line="360" w:lineRule="auto"/>
      <w:jc w:val="both"/>
    </w:pPr>
    <w:rPr>
      <w:b/>
      <w:lang w:val="en-US"/>
    </w:rPr>
  </w:style>
  <w:style w:type="paragraph" w:customStyle="1" w:styleId="Head2">
    <w:name w:val="Head 2"/>
    <w:basedOn w:val="Standard"/>
    <w:autoRedefine/>
    <w:rsid w:val="00437BE5"/>
    <w:pPr>
      <w:spacing w:line="360" w:lineRule="auto"/>
    </w:pPr>
    <w:rPr>
      <w:i/>
      <w:lang w:val="en-US"/>
    </w:rPr>
  </w:style>
  <w:style w:type="paragraph" w:customStyle="1" w:styleId="dates">
    <w:name w:val="dates"/>
    <w:basedOn w:val="Standard"/>
    <w:rsid w:val="00437BE5"/>
    <w:pPr>
      <w:jc w:val="right"/>
    </w:pPr>
    <w:rPr>
      <w:lang w:val="en-US"/>
    </w:rPr>
  </w:style>
  <w:style w:type="paragraph" w:customStyle="1" w:styleId="Literature">
    <w:name w:val="Literature"/>
    <w:basedOn w:val="Standard"/>
    <w:rsid w:val="00437BE5"/>
    <w:pPr>
      <w:spacing w:line="480" w:lineRule="auto"/>
    </w:pPr>
  </w:style>
  <w:style w:type="paragraph" w:customStyle="1" w:styleId="Legend">
    <w:name w:val="Legend"/>
    <w:basedOn w:val="Standard"/>
    <w:rsid w:val="00437BE5"/>
    <w:rPr>
      <w:lang w:val="en-US"/>
    </w:rPr>
  </w:style>
  <w:style w:type="paragraph" w:customStyle="1" w:styleId="MainText">
    <w:name w:val="Main Text"/>
    <w:basedOn w:val="Standard"/>
    <w:link w:val="MainTextChar"/>
    <w:rsid w:val="00437BE5"/>
    <w:pPr>
      <w:spacing w:line="480" w:lineRule="auto"/>
    </w:pPr>
    <w:rPr>
      <w:lang w:val="en-US"/>
    </w:rPr>
  </w:style>
  <w:style w:type="paragraph" w:customStyle="1" w:styleId="Tableofcontents">
    <w:name w:val="Table of contents"/>
    <w:basedOn w:val="Standard"/>
    <w:autoRedefine/>
    <w:rsid w:val="00A24FA0"/>
    <w:pPr>
      <w:spacing w:line="360" w:lineRule="auto"/>
    </w:pPr>
    <w:rPr>
      <w:lang w:val="en-US"/>
    </w:rPr>
  </w:style>
  <w:style w:type="paragraph" w:customStyle="1" w:styleId="ExperimentalText">
    <w:name w:val="Experimental Text"/>
    <w:basedOn w:val="Standard"/>
    <w:link w:val="ExperimentalTextChar"/>
    <w:rsid w:val="00437BE5"/>
    <w:pPr>
      <w:spacing w:line="480" w:lineRule="auto"/>
    </w:pPr>
    <w:rPr>
      <w:lang w:val="en-US"/>
    </w:rPr>
  </w:style>
  <w:style w:type="character" w:customStyle="1" w:styleId="ExperimentalTextChar">
    <w:name w:val="Experimental Text Char"/>
    <w:link w:val="ExperimentalText"/>
    <w:rsid w:val="00437BE5"/>
    <w:rPr>
      <w:rFonts w:ascii="Times New Roman" w:eastAsia="MS Mincho" w:hAnsi="Times New Roman" w:cs="Times New Roman"/>
      <w:sz w:val="24"/>
      <w:szCs w:val="24"/>
      <w:lang w:val="en-US" w:eastAsia="ja-JP"/>
    </w:rPr>
  </w:style>
  <w:style w:type="character" w:customStyle="1" w:styleId="MainTextChar">
    <w:name w:val="Main Text Char"/>
    <w:link w:val="MainText"/>
    <w:rsid w:val="00437BE5"/>
    <w:rPr>
      <w:rFonts w:ascii="Times New Roman" w:eastAsia="MS Mincho" w:hAnsi="Times New Roman" w:cs="Times New Roman"/>
      <w:sz w:val="24"/>
      <w:szCs w:val="24"/>
      <w:lang w:val="en-US" w:eastAsia="ja-JP"/>
    </w:rPr>
  </w:style>
  <w:style w:type="paragraph" w:customStyle="1" w:styleId="Title2">
    <w:name w:val="Title2"/>
    <w:basedOn w:val="Standard"/>
    <w:rsid w:val="00437BE5"/>
    <w:rPr>
      <w:b/>
      <w:lang w:val="en-US"/>
    </w:rPr>
  </w:style>
  <w:style w:type="paragraph" w:customStyle="1" w:styleId="Dedication0">
    <w:name w:val="Dedication"/>
    <w:basedOn w:val="Standard"/>
    <w:autoRedefine/>
    <w:rsid w:val="00437BE5"/>
    <w:rPr>
      <w:lang w:val="en-US"/>
    </w:rPr>
  </w:style>
  <w:style w:type="paragraph" w:customStyle="1" w:styleId="Maintext0">
    <w:name w:val="Main text"/>
    <w:basedOn w:val="Standard"/>
    <w:link w:val="MaintextChar0"/>
    <w:autoRedefine/>
    <w:rsid w:val="00437BE5"/>
    <w:pPr>
      <w:spacing w:line="360" w:lineRule="auto"/>
    </w:pPr>
    <w:rPr>
      <w:color w:val="4472C4" w:themeColor="accent1"/>
      <w:lang w:val="en-US"/>
    </w:rPr>
  </w:style>
  <w:style w:type="character" w:customStyle="1" w:styleId="MaintextChar0">
    <w:name w:val="Main text Char"/>
    <w:link w:val="Maintext0"/>
    <w:rsid w:val="00437BE5"/>
    <w:rPr>
      <w:rFonts w:ascii="Times New Roman" w:eastAsia="MS Mincho" w:hAnsi="Times New Roman" w:cs="Times New Roman"/>
      <w:color w:val="4472C4" w:themeColor="accent1"/>
      <w:sz w:val="24"/>
      <w:szCs w:val="24"/>
      <w:lang w:val="en-US" w:eastAsia="ja-JP"/>
    </w:rPr>
  </w:style>
  <w:style w:type="paragraph" w:customStyle="1" w:styleId="Biography">
    <w:name w:val="Biography"/>
    <w:basedOn w:val="Standard"/>
    <w:autoRedefine/>
    <w:rsid w:val="00437BE5"/>
    <w:rPr>
      <w:i/>
      <w:lang w:val="en-US"/>
    </w:rPr>
  </w:style>
  <w:style w:type="character" w:styleId="Kommentarzeichen">
    <w:name w:val="annotation reference"/>
    <w:uiPriority w:val="99"/>
    <w:semiHidden/>
    <w:unhideWhenUsed/>
    <w:rsid w:val="00437BE5"/>
    <w:rPr>
      <w:sz w:val="16"/>
      <w:szCs w:val="16"/>
    </w:rPr>
  </w:style>
  <w:style w:type="paragraph" w:styleId="Kommentartext">
    <w:name w:val="annotation text"/>
    <w:basedOn w:val="Standard"/>
    <w:link w:val="KommentartextZchn"/>
    <w:uiPriority w:val="99"/>
    <w:unhideWhenUsed/>
    <w:rsid w:val="00437BE5"/>
    <w:rPr>
      <w:sz w:val="20"/>
      <w:szCs w:val="20"/>
      <w:lang w:val="x-none"/>
    </w:rPr>
  </w:style>
  <w:style w:type="character" w:customStyle="1" w:styleId="KommentartextZchn">
    <w:name w:val="Kommentartext Zchn"/>
    <w:basedOn w:val="Absatz-Standardschriftart"/>
    <w:link w:val="Kommentartext"/>
    <w:uiPriority w:val="99"/>
    <w:rsid w:val="00437BE5"/>
    <w:rPr>
      <w:rFonts w:ascii="Times New Roman" w:eastAsia="MS Mincho" w:hAnsi="Times New Roman" w:cs="Times New Roman"/>
      <w:sz w:val="20"/>
      <w:szCs w:val="20"/>
      <w:lang w:val="x-none" w:eastAsia="ja-JP"/>
    </w:rPr>
  </w:style>
  <w:style w:type="paragraph" w:styleId="Kommentarthema">
    <w:name w:val="annotation subject"/>
    <w:basedOn w:val="Kommentartext"/>
    <w:next w:val="Kommentartext"/>
    <w:link w:val="KommentarthemaZchn"/>
    <w:uiPriority w:val="99"/>
    <w:semiHidden/>
    <w:unhideWhenUsed/>
    <w:rsid w:val="00437BE5"/>
    <w:rPr>
      <w:b/>
      <w:bCs/>
    </w:rPr>
  </w:style>
  <w:style w:type="character" w:customStyle="1" w:styleId="KommentarthemaZchn">
    <w:name w:val="Kommentarthema Zchn"/>
    <w:basedOn w:val="KommentartextZchn"/>
    <w:link w:val="Kommentarthema"/>
    <w:uiPriority w:val="99"/>
    <w:semiHidden/>
    <w:rsid w:val="00437BE5"/>
    <w:rPr>
      <w:rFonts w:ascii="Times New Roman" w:eastAsia="MS Mincho" w:hAnsi="Times New Roman" w:cs="Times New Roman"/>
      <w:b/>
      <w:bCs/>
      <w:sz w:val="20"/>
      <w:szCs w:val="20"/>
      <w:lang w:val="x-none" w:eastAsia="ja-JP"/>
    </w:rPr>
  </w:style>
  <w:style w:type="character" w:styleId="Platzhaltertext">
    <w:name w:val="Placeholder Text"/>
    <w:basedOn w:val="Absatz-Standardschriftart"/>
    <w:uiPriority w:val="99"/>
    <w:semiHidden/>
    <w:rsid w:val="00437BE5"/>
    <w:rPr>
      <w:color w:val="808080"/>
    </w:rPr>
  </w:style>
  <w:style w:type="paragraph" w:customStyle="1" w:styleId="StyleJustifiedBefore5ptAfter5pt">
    <w:name w:val="Style Justified Before:  5 pt After:  5 pt"/>
    <w:basedOn w:val="Standard"/>
    <w:rsid w:val="00437BE5"/>
    <w:pPr>
      <w:spacing w:after="100"/>
      <w:jc w:val="both"/>
    </w:pPr>
    <w:rPr>
      <w:rFonts w:eastAsia="Times New Roman"/>
      <w:szCs w:val="20"/>
    </w:rPr>
  </w:style>
  <w:style w:type="paragraph" w:styleId="berarbeitung">
    <w:name w:val="Revision"/>
    <w:hidden/>
    <w:uiPriority w:val="99"/>
    <w:semiHidden/>
    <w:rsid w:val="00437BE5"/>
    <w:pPr>
      <w:spacing w:after="0" w:line="240" w:lineRule="auto"/>
    </w:pPr>
    <w:rPr>
      <w:rFonts w:ascii="Times New Roman" w:eastAsia="MS Mincho" w:hAnsi="Times New Roman" w:cs="Times New Roman"/>
      <w:sz w:val="24"/>
      <w:szCs w:val="24"/>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449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5AE06-5D47-4B18-8837-BAA92CDBC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34132</Words>
  <Characters>215035</Characters>
  <Application>Microsoft Office Word</Application>
  <DocSecurity>0</DocSecurity>
  <Lines>1791</Lines>
  <Paragraphs>497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Lens Dedroog</dc:creator>
  <cp:keywords/>
  <dc:description/>
  <cp:lastModifiedBy>Angelika Schmitz</cp:lastModifiedBy>
  <cp:revision>2</cp:revision>
  <cp:lastPrinted>2022-05-12T16:51:00Z</cp:lastPrinted>
  <dcterms:created xsi:type="dcterms:W3CDTF">2022-12-09T07:03:00Z</dcterms:created>
  <dcterms:modified xsi:type="dcterms:W3CDTF">2022-12-09T07:03:00Z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http://www.zotero.org/styles/acta-biomaterialia</vt:lpwstr>
  </property>
  <property fmtid="{D5CDD505-2E9C-101B-9397-08002B2CF9AE}" pid="3" name="Mendeley Recent Style Name 0_1">
    <vt:lpwstr>Acta Biomaterialia</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 11th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http://www.zotero.org/styles/biomaterials</vt:lpwstr>
  </property>
  <property fmtid="{D5CDD505-2E9C-101B-9397-08002B2CF9AE}" pid="9" name="Mendeley Recent Style Name 3_1">
    <vt:lpwstr>Biomaterials</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e8ac3712-bcb0-363a-9fb4-b3ace14b46af</vt:lpwstr>
  </property>
  <property fmtid="{D5CDD505-2E9C-101B-9397-08002B2CF9AE}" pid="24" name="Mendeley Citation Style_1">
    <vt:lpwstr>http://www.zotero.org/styles/acta-biomaterialia</vt:lpwstr>
  </property>
</Properties>
</file>